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750A" w14:textId="77777777" w:rsidR="00AB53A0" w:rsidRDefault="00AB53A0" w:rsidP="005A5E19">
      <w:pPr>
        <w:jc w:val="center"/>
        <w:rPr>
          <w:sz w:val="28"/>
          <w:szCs w:val="28"/>
          <w:lang w:val="ru-RU"/>
        </w:rPr>
      </w:pPr>
    </w:p>
    <w:p w14:paraId="6BB1E21D" w14:textId="77777777" w:rsidR="00AB53A0" w:rsidRDefault="00AB53A0" w:rsidP="005A5E19">
      <w:pPr>
        <w:jc w:val="center"/>
        <w:rPr>
          <w:sz w:val="28"/>
          <w:szCs w:val="28"/>
          <w:lang w:val="ru-RU"/>
        </w:rPr>
      </w:pPr>
    </w:p>
    <w:p w14:paraId="223C5871" w14:textId="77777777" w:rsidR="00AB53A0" w:rsidRDefault="00AB53A0" w:rsidP="005A5E19">
      <w:pPr>
        <w:jc w:val="center"/>
        <w:rPr>
          <w:sz w:val="28"/>
          <w:szCs w:val="28"/>
          <w:lang w:val="ru-RU"/>
        </w:rPr>
      </w:pPr>
    </w:p>
    <w:p w14:paraId="00199BBB" w14:textId="77777777" w:rsidR="00AB53A0" w:rsidRDefault="00AB53A0" w:rsidP="005A5E19">
      <w:pPr>
        <w:jc w:val="center"/>
        <w:rPr>
          <w:sz w:val="28"/>
          <w:szCs w:val="28"/>
          <w:lang w:val="ru-RU"/>
        </w:rPr>
      </w:pPr>
    </w:p>
    <w:p w14:paraId="7177FCA5" w14:textId="77777777" w:rsidR="00AB53A0" w:rsidRDefault="00AB53A0" w:rsidP="005A5E19">
      <w:pPr>
        <w:jc w:val="center"/>
        <w:rPr>
          <w:sz w:val="28"/>
          <w:szCs w:val="28"/>
          <w:lang w:val="ru-RU"/>
        </w:rPr>
      </w:pPr>
    </w:p>
    <w:p w14:paraId="23242A20" w14:textId="77777777" w:rsidR="00B345B3" w:rsidRPr="00911C75" w:rsidRDefault="00E66E04" w:rsidP="005A5E19">
      <w:pPr>
        <w:jc w:val="center"/>
        <w:rPr>
          <w:sz w:val="28"/>
          <w:szCs w:val="28"/>
        </w:rPr>
      </w:pPr>
      <w:r w:rsidRPr="00AA4C10">
        <w:rPr>
          <w:sz w:val="28"/>
          <w:lang w:bidi="en-US"/>
        </w:rPr>
        <w:t>THE MINISTRY OF HEALTH OF THE RUSSIAN FEDERATION</w:t>
      </w:r>
    </w:p>
    <w:p w14:paraId="3D70C932" w14:textId="77777777" w:rsidR="00B345B3" w:rsidRPr="00911C75" w:rsidRDefault="00B345B3" w:rsidP="00A53928">
      <w:pPr>
        <w:spacing w:line="360" w:lineRule="auto"/>
        <w:jc w:val="center"/>
        <w:rPr>
          <w:caps/>
        </w:rPr>
      </w:pPr>
    </w:p>
    <w:p w14:paraId="2AE34627" w14:textId="77777777" w:rsidR="00E073E0" w:rsidRPr="00911C75" w:rsidRDefault="00A53928" w:rsidP="00A53928">
      <w:pPr>
        <w:spacing w:line="360" w:lineRule="auto"/>
        <w:jc w:val="center"/>
        <w:rPr>
          <w:caps/>
        </w:rPr>
      </w:pPr>
      <w:r w:rsidRPr="00AA4C10">
        <w:rPr>
          <w:lang w:bidi="en-US"/>
        </w:rPr>
        <w:t>PACKAGE LEAFLET</w:t>
      </w:r>
    </w:p>
    <w:p w14:paraId="6C07087A" w14:textId="77777777" w:rsidR="00E073E0" w:rsidRPr="00911C75" w:rsidRDefault="00E073E0" w:rsidP="00A53928">
      <w:pPr>
        <w:spacing w:line="360" w:lineRule="auto"/>
        <w:jc w:val="center"/>
      </w:pPr>
      <w:r w:rsidRPr="00AA4C10">
        <w:rPr>
          <w:lang w:bidi="en-US"/>
        </w:rPr>
        <w:t>of a Drug Product for Human Use</w:t>
      </w:r>
    </w:p>
    <w:p w14:paraId="64DD2701" w14:textId="77777777" w:rsidR="00F215D8" w:rsidRPr="00911C75" w:rsidRDefault="00F215D8" w:rsidP="00A53928">
      <w:pPr>
        <w:pStyle w:val="4"/>
        <w:spacing w:before="0" w:beforeAutospacing="0" w:after="0" w:afterAutospacing="0" w:line="360" w:lineRule="auto"/>
        <w:jc w:val="center"/>
      </w:pPr>
    </w:p>
    <w:p w14:paraId="132E46C7" w14:textId="77777777" w:rsidR="00691A70" w:rsidRPr="00911C75" w:rsidRDefault="00E073E0" w:rsidP="00A53928">
      <w:pPr>
        <w:pStyle w:val="4"/>
        <w:spacing w:before="0" w:beforeAutospacing="0" w:after="0" w:afterAutospacing="0" w:line="360" w:lineRule="auto"/>
        <w:jc w:val="center"/>
      </w:pPr>
      <w:r w:rsidRPr="00AA4C10">
        <w:rPr>
          <w:lang w:bidi="en-US"/>
        </w:rPr>
        <w:t>PREVENAR</w:t>
      </w:r>
      <w:r w:rsidRPr="00AA4C10">
        <w:rPr>
          <w:vertAlign w:val="superscript"/>
          <w:lang w:bidi="en-US"/>
        </w:rPr>
        <w:t>®</w:t>
      </w:r>
      <w:r w:rsidRPr="00AA4C10">
        <w:rPr>
          <w:lang w:bidi="en-US"/>
        </w:rPr>
        <w:t xml:space="preserve"> 13</w:t>
      </w:r>
    </w:p>
    <w:p w14:paraId="715E0BF8" w14:textId="77777777" w:rsidR="00B4765E" w:rsidRPr="00911C75" w:rsidRDefault="00E073E0" w:rsidP="00A53928">
      <w:pPr>
        <w:pStyle w:val="a4"/>
        <w:spacing w:before="0" w:beforeAutospacing="0" w:after="0" w:afterAutospacing="0" w:line="360" w:lineRule="auto"/>
        <w:jc w:val="both"/>
      </w:pPr>
      <w:r w:rsidRPr="00AA4C10">
        <w:rPr>
          <w:lang w:bidi="en-US"/>
        </w:rPr>
        <w:t xml:space="preserve">(a 13-valent pneumococcal polysaccharide conjugate adsorbed vaccine) </w:t>
      </w:r>
    </w:p>
    <w:p w14:paraId="3FFE1477" w14:textId="77777777" w:rsidR="00B104B5" w:rsidRPr="00911C75" w:rsidRDefault="00B104B5" w:rsidP="00A53928">
      <w:pPr>
        <w:spacing w:line="360" w:lineRule="auto"/>
        <w:rPr>
          <w:b/>
        </w:rPr>
      </w:pPr>
      <w:r w:rsidRPr="00AA4C10">
        <w:rPr>
          <w:b/>
          <w:lang w:bidi="en-US"/>
        </w:rPr>
        <w:t xml:space="preserve">INTERNATIONAL NON-PROPRIETARY OR GENERIC NAME: </w:t>
      </w:r>
      <w:r w:rsidRPr="00AA4C10">
        <w:rPr>
          <w:lang w:bidi="en-US"/>
        </w:rPr>
        <w:t>vaccine for prevention of pneumococcal infections</w:t>
      </w:r>
    </w:p>
    <w:p w14:paraId="1163FE50" w14:textId="77777777" w:rsidR="00E073E0" w:rsidRPr="00911C75" w:rsidRDefault="00E073E0" w:rsidP="00A53928">
      <w:pPr>
        <w:spacing w:line="360" w:lineRule="auto"/>
        <w:rPr>
          <w:b/>
        </w:rPr>
      </w:pPr>
      <w:r w:rsidRPr="00AA4C10">
        <w:rPr>
          <w:b/>
          <w:lang w:bidi="en-US"/>
        </w:rPr>
        <w:t xml:space="preserve">REGISTRATION NUMBER: </w:t>
      </w:r>
      <w:r w:rsidRPr="00AA4C10">
        <w:rPr>
          <w:lang w:bidi="en-US"/>
        </w:rPr>
        <w:t>LP-000798</w:t>
      </w:r>
    </w:p>
    <w:p w14:paraId="441FF7D0" w14:textId="77777777" w:rsidR="00B4765E" w:rsidRPr="00911C75" w:rsidRDefault="00E073E0" w:rsidP="00A53928">
      <w:pPr>
        <w:spacing w:line="360" w:lineRule="auto"/>
        <w:jc w:val="both"/>
      </w:pPr>
      <w:r w:rsidRPr="00AA4C10">
        <w:rPr>
          <w:b/>
          <w:lang w:bidi="en-US"/>
        </w:rPr>
        <w:t xml:space="preserve">DOSAGE FORM: </w:t>
      </w:r>
      <w:r w:rsidRPr="00AA4C10">
        <w:rPr>
          <w:lang w:bidi="en-US"/>
        </w:rPr>
        <w:t>suspension for intramuscular injection</w:t>
      </w:r>
    </w:p>
    <w:p w14:paraId="1972BB9C" w14:textId="77777777" w:rsidR="0086675F" w:rsidRPr="00911C75" w:rsidRDefault="0086675F" w:rsidP="00A53928">
      <w:pPr>
        <w:spacing w:line="360" w:lineRule="auto"/>
        <w:jc w:val="both"/>
      </w:pPr>
    </w:p>
    <w:p w14:paraId="6194095D" w14:textId="77777777" w:rsidR="00E073E0" w:rsidRPr="00911C75" w:rsidRDefault="00E073E0" w:rsidP="00A53928">
      <w:pPr>
        <w:suppressAutoHyphens/>
        <w:spacing w:line="360" w:lineRule="auto"/>
        <w:jc w:val="both"/>
        <w:rPr>
          <w:bCs/>
        </w:rPr>
      </w:pPr>
      <w:r w:rsidRPr="00AA4C10">
        <w:rPr>
          <w:lang w:bidi="en-US"/>
        </w:rPr>
        <w:t>Prevenar</w:t>
      </w:r>
      <w:r w:rsidRPr="00AA4C10">
        <w:rPr>
          <w:vertAlign w:val="superscript"/>
          <w:lang w:bidi="en-US"/>
        </w:rPr>
        <w:t>®</w:t>
      </w:r>
      <w:r w:rsidRPr="00AA4C10">
        <w:rPr>
          <w:lang w:bidi="en-US"/>
        </w:rPr>
        <w:t xml:space="preserve"> 13 contains capsular polysaccharides of 13 Pneumococcus serotypes (1, 3, 4, 5, 6A, 6B, 7F, 9V, 14, 18C, 19A, 19F and 23F) individually conjugated with CRM</w:t>
      </w:r>
      <w:r w:rsidRPr="00AA4C10">
        <w:rPr>
          <w:position w:val="-6"/>
          <w:vertAlign w:val="subscript"/>
          <w:lang w:bidi="en-US"/>
        </w:rPr>
        <w:t>197</w:t>
      </w:r>
      <w:r w:rsidRPr="00AA4C10">
        <w:rPr>
          <w:lang w:bidi="en-US"/>
        </w:rPr>
        <w:t xml:space="preserve"> diphtheria protein and adsorbed on aluminum phosphate.</w:t>
      </w:r>
    </w:p>
    <w:p w14:paraId="07382FBF" w14:textId="77777777" w:rsidR="00B4765E" w:rsidRPr="00911C75" w:rsidRDefault="00E073E0" w:rsidP="00A53928">
      <w:pPr>
        <w:spacing w:line="360" w:lineRule="auto"/>
        <w:jc w:val="both"/>
        <w:rPr>
          <w:b/>
        </w:rPr>
      </w:pPr>
      <w:r w:rsidRPr="00AA4C10">
        <w:rPr>
          <w:b/>
          <w:lang w:bidi="en-US"/>
        </w:rPr>
        <w:t>COMPOSITION</w:t>
      </w:r>
    </w:p>
    <w:p w14:paraId="118C68A3" w14:textId="77777777" w:rsidR="00E073E0" w:rsidRPr="00911C75" w:rsidRDefault="00E073E0" w:rsidP="00A53928">
      <w:pPr>
        <w:pStyle w:val="a4"/>
        <w:spacing w:before="0" w:beforeAutospacing="0" w:after="0" w:afterAutospacing="0" w:line="360" w:lineRule="auto"/>
        <w:jc w:val="both"/>
      </w:pPr>
      <w:r w:rsidRPr="00AA4C10">
        <w:rPr>
          <w:lang w:bidi="en-US"/>
        </w:rPr>
        <w:t>Ingredients per dose (0.5 mL):</w:t>
      </w:r>
    </w:p>
    <w:p w14:paraId="5296FC2C" w14:textId="77777777" w:rsidR="00E073E0" w:rsidRPr="00911C75" w:rsidRDefault="00E073E0" w:rsidP="00A53928">
      <w:pPr>
        <w:pStyle w:val="a4"/>
        <w:spacing w:before="0" w:beforeAutospacing="0" w:after="0" w:afterAutospacing="0" w:line="360" w:lineRule="auto"/>
        <w:jc w:val="both"/>
        <w:rPr>
          <w:i/>
        </w:rPr>
      </w:pPr>
      <w:r w:rsidRPr="00AA4C10">
        <w:rPr>
          <w:b/>
          <w:i/>
          <w:lang w:bidi="en-US"/>
        </w:rPr>
        <w:t>Active substances:</w:t>
      </w:r>
      <w:r w:rsidRPr="00AA4C10">
        <w:rPr>
          <w:i/>
          <w:lang w:bidi="en-US"/>
        </w:rPr>
        <w:t xml:space="preserve"> </w:t>
      </w:r>
    </w:p>
    <w:p w14:paraId="0554FE5A" w14:textId="77777777" w:rsidR="00E073E0" w:rsidRPr="00911C75" w:rsidRDefault="00E073E0" w:rsidP="00B507FB">
      <w:pPr>
        <w:pStyle w:val="a4"/>
        <w:spacing w:before="0" w:beforeAutospacing="0" w:after="0" w:afterAutospacing="0" w:line="360" w:lineRule="auto"/>
        <w:jc w:val="both"/>
        <w:rPr>
          <w:i/>
        </w:rPr>
      </w:pPr>
      <w:r w:rsidRPr="00AA4C10">
        <w:rPr>
          <w:lang w:bidi="en-US"/>
        </w:rPr>
        <w:t>Pneumococcal conjugates (polysaccharide-CRM</w:t>
      </w:r>
      <w:r w:rsidRPr="00AA4C10">
        <w:rPr>
          <w:vertAlign w:val="subscript"/>
          <w:lang w:bidi="en-US"/>
        </w:rPr>
        <w:t>197</w:t>
      </w:r>
      <w:r w:rsidRPr="00AA4C10">
        <w:rPr>
          <w:lang w:bidi="en-US"/>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61"/>
      </w:tblGrid>
      <w:tr w:rsidR="002F47F1" w:rsidRPr="00AA4C10" w14:paraId="07223A25" w14:textId="77777777" w:rsidTr="00D341C1">
        <w:tc>
          <w:tcPr>
            <w:tcW w:w="3227" w:type="dxa"/>
          </w:tcPr>
          <w:p w14:paraId="28AE786C"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 xml:space="preserve">Serotype 1 polysaccharide </w:t>
            </w:r>
          </w:p>
        </w:tc>
        <w:tc>
          <w:tcPr>
            <w:tcW w:w="1261" w:type="dxa"/>
          </w:tcPr>
          <w:p w14:paraId="484E83C7"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2.2 μg</w:t>
            </w:r>
          </w:p>
        </w:tc>
      </w:tr>
      <w:tr w:rsidR="0086675F" w:rsidRPr="00AA4C10" w14:paraId="1F8B82EF" w14:textId="77777777" w:rsidTr="00D341C1">
        <w:tc>
          <w:tcPr>
            <w:tcW w:w="3227" w:type="dxa"/>
          </w:tcPr>
          <w:p w14:paraId="471D508B"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Serotype 3 polysaccharide</w:t>
            </w:r>
          </w:p>
        </w:tc>
        <w:tc>
          <w:tcPr>
            <w:tcW w:w="1261" w:type="dxa"/>
          </w:tcPr>
          <w:p w14:paraId="4AA7B9B0"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2.2 μg</w:t>
            </w:r>
          </w:p>
        </w:tc>
      </w:tr>
      <w:tr w:rsidR="002F47F1" w:rsidRPr="00AA4C10" w14:paraId="7BA72407" w14:textId="77777777" w:rsidTr="00D341C1">
        <w:tc>
          <w:tcPr>
            <w:tcW w:w="3227" w:type="dxa"/>
          </w:tcPr>
          <w:p w14:paraId="462AD72D"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Serotype 4 polysaccharide</w:t>
            </w:r>
          </w:p>
        </w:tc>
        <w:tc>
          <w:tcPr>
            <w:tcW w:w="1261" w:type="dxa"/>
          </w:tcPr>
          <w:p w14:paraId="748DB6B5"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2.2 μg</w:t>
            </w:r>
          </w:p>
        </w:tc>
      </w:tr>
      <w:tr w:rsidR="0086675F" w:rsidRPr="00AA4C10" w14:paraId="6EECBCFD" w14:textId="77777777" w:rsidTr="00D341C1">
        <w:tc>
          <w:tcPr>
            <w:tcW w:w="3227" w:type="dxa"/>
          </w:tcPr>
          <w:p w14:paraId="561E1E7F"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Serotype 5 polysaccharide</w:t>
            </w:r>
          </w:p>
        </w:tc>
        <w:tc>
          <w:tcPr>
            <w:tcW w:w="1261" w:type="dxa"/>
          </w:tcPr>
          <w:p w14:paraId="5C84D503"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2.2 μg</w:t>
            </w:r>
          </w:p>
        </w:tc>
      </w:tr>
      <w:tr w:rsidR="002F47F1" w:rsidRPr="00AA4C10" w14:paraId="02C669E1" w14:textId="77777777" w:rsidTr="00D341C1">
        <w:tc>
          <w:tcPr>
            <w:tcW w:w="3227" w:type="dxa"/>
          </w:tcPr>
          <w:p w14:paraId="0B1B1B24"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Serotype 6A polysaccharide</w:t>
            </w:r>
          </w:p>
        </w:tc>
        <w:tc>
          <w:tcPr>
            <w:tcW w:w="1261" w:type="dxa"/>
          </w:tcPr>
          <w:p w14:paraId="29ECF6D7"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2.2 μg</w:t>
            </w:r>
          </w:p>
        </w:tc>
      </w:tr>
      <w:tr w:rsidR="0086675F" w:rsidRPr="00AA4C10" w14:paraId="7CD331E7" w14:textId="77777777" w:rsidTr="00D341C1">
        <w:tc>
          <w:tcPr>
            <w:tcW w:w="3227" w:type="dxa"/>
          </w:tcPr>
          <w:p w14:paraId="10D89311"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Serotype 6B polysaccharide</w:t>
            </w:r>
          </w:p>
        </w:tc>
        <w:tc>
          <w:tcPr>
            <w:tcW w:w="1261" w:type="dxa"/>
          </w:tcPr>
          <w:p w14:paraId="5F8E9ABD"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4.4 μg</w:t>
            </w:r>
          </w:p>
        </w:tc>
      </w:tr>
      <w:tr w:rsidR="002F47F1" w:rsidRPr="00AA4C10" w14:paraId="2FD8D87D" w14:textId="77777777" w:rsidTr="00D341C1">
        <w:tc>
          <w:tcPr>
            <w:tcW w:w="3227" w:type="dxa"/>
          </w:tcPr>
          <w:p w14:paraId="4D2E64AD"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Serotype 7F polysaccharide</w:t>
            </w:r>
          </w:p>
        </w:tc>
        <w:tc>
          <w:tcPr>
            <w:tcW w:w="1261" w:type="dxa"/>
          </w:tcPr>
          <w:p w14:paraId="07D92122"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2.2 μg</w:t>
            </w:r>
          </w:p>
        </w:tc>
      </w:tr>
      <w:tr w:rsidR="0086675F" w:rsidRPr="00AA4C10" w14:paraId="4A58421E" w14:textId="77777777" w:rsidTr="00D341C1">
        <w:tc>
          <w:tcPr>
            <w:tcW w:w="3227" w:type="dxa"/>
          </w:tcPr>
          <w:p w14:paraId="2CF603A9"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Serotype 9V polysaccharide</w:t>
            </w:r>
          </w:p>
        </w:tc>
        <w:tc>
          <w:tcPr>
            <w:tcW w:w="1261" w:type="dxa"/>
          </w:tcPr>
          <w:p w14:paraId="74F73279"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2.2 μg</w:t>
            </w:r>
          </w:p>
        </w:tc>
      </w:tr>
      <w:tr w:rsidR="002F47F1" w:rsidRPr="00AA4C10" w14:paraId="2B862F1F" w14:textId="77777777" w:rsidTr="00D341C1">
        <w:tc>
          <w:tcPr>
            <w:tcW w:w="3227" w:type="dxa"/>
          </w:tcPr>
          <w:p w14:paraId="36ED63F9"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Serotype 14 polysaccharide</w:t>
            </w:r>
          </w:p>
        </w:tc>
        <w:tc>
          <w:tcPr>
            <w:tcW w:w="1261" w:type="dxa"/>
          </w:tcPr>
          <w:p w14:paraId="4C211096"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2.2 μg</w:t>
            </w:r>
          </w:p>
        </w:tc>
      </w:tr>
      <w:tr w:rsidR="0086675F" w:rsidRPr="00AA4C10" w14:paraId="452A7675" w14:textId="77777777" w:rsidTr="00D341C1">
        <w:tc>
          <w:tcPr>
            <w:tcW w:w="3227" w:type="dxa"/>
          </w:tcPr>
          <w:p w14:paraId="55CA8FED"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Serotype 18C polysaccharide</w:t>
            </w:r>
          </w:p>
        </w:tc>
        <w:tc>
          <w:tcPr>
            <w:tcW w:w="1261" w:type="dxa"/>
          </w:tcPr>
          <w:p w14:paraId="570064DE"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2.2 μg</w:t>
            </w:r>
          </w:p>
        </w:tc>
      </w:tr>
      <w:tr w:rsidR="002F47F1" w:rsidRPr="00AA4C10" w14:paraId="4146BACA" w14:textId="77777777" w:rsidTr="00D341C1">
        <w:tc>
          <w:tcPr>
            <w:tcW w:w="3227" w:type="dxa"/>
          </w:tcPr>
          <w:p w14:paraId="090F503B"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Serotype 19A polysaccharide</w:t>
            </w:r>
          </w:p>
        </w:tc>
        <w:tc>
          <w:tcPr>
            <w:tcW w:w="1261" w:type="dxa"/>
          </w:tcPr>
          <w:p w14:paraId="2B85A63A"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2.2 μg</w:t>
            </w:r>
          </w:p>
        </w:tc>
      </w:tr>
      <w:tr w:rsidR="0086675F" w:rsidRPr="00AA4C10" w14:paraId="7C3A8EA3" w14:textId="77777777" w:rsidTr="00D341C1">
        <w:tc>
          <w:tcPr>
            <w:tcW w:w="3227" w:type="dxa"/>
          </w:tcPr>
          <w:p w14:paraId="5178A84E"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Serotype 19F polysaccharide</w:t>
            </w:r>
          </w:p>
        </w:tc>
        <w:tc>
          <w:tcPr>
            <w:tcW w:w="1261" w:type="dxa"/>
          </w:tcPr>
          <w:p w14:paraId="1CDD98C5" w14:textId="77777777" w:rsidR="0086675F" w:rsidRPr="00AA4C10" w:rsidRDefault="0086675F" w:rsidP="00CD1827">
            <w:pPr>
              <w:pStyle w:val="a4"/>
              <w:spacing w:before="0" w:beforeAutospacing="0" w:after="0" w:afterAutospacing="0" w:line="360" w:lineRule="auto"/>
              <w:jc w:val="both"/>
              <w:rPr>
                <w:lang w:val="ru-RU"/>
              </w:rPr>
            </w:pPr>
            <w:r w:rsidRPr="00AA4C10">
              <w:rPr>
                <w:lang w:bidi="en-US"/>
              </w:rPr>
              <w:t>2.2 μg</w:t>
            </w:r>
          </w:p>
        </w:tc>
      </w:tr>
      <w:tr w:rsidR="002F47F1" w:rsidRPr="00AA4C10" w14:paraId="3275A8DB" w14:textId="77777777" w:rsidTr="00D341C1">
        <w:tc>
          <w:tcPr>
            <w:tcW w:w="3227" w:type="dxa"/>
          </w:tcPr>
          <w:p w14:paraId="6D7EF195"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lastRenderedPageBreak/>
              <w:t>Serotype 23F polysaccharide</w:t>
            </w:r>
          </w:p>
        </w:tc>
        <w:tc>
          <w:tcPr>
            <w:tcW w:w="1261" w:type="dxa"/>
          </w:tcPr>
          <w:p w14:paraId="3A06D066"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2.2 μg</w:t>
            </w:r>
          </w:p>
        </w:tc>
      </w:tr>
      <w:tr w:rsidR="002F47F1" w:rsidRPr="00AA4C10" w14:paraId="3B09A6E7" w14:textId="77777777" w:rsidTr="00D341C1">
        <w:tc>
          <w:tcPr>
            <w:tcW w:w="3227" w:type="dxa"/>
          </w:tcPr>
          <w:p w14:paraId="66DB9E31"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CRM</w:t>
            </w:r>
            <w:r w:rsidRPr="00AA4C10">
              <w:rPr>
                <w:position w:val="-6"/>
                <w:vertAlign w:val="subscript"/>
                <w:lang w:bidi="en-US"/>
              </w:rPr>
              <w:t>197</w:t>
            </w:r>
            <w:r w:rsidRPr="00AA4C10">
              <w:rPr>
                <w:lang w:bidi="en-US"/>
              </w:rPr>
              <w:t xml:space="preserve"> carrier protein  </w:t>
            </w:r>
          </w:p>
        </w:tc>
        <w:tc>
          <w:tcPr>
            <w:tcW w:w="1261" w:type="dxa"/>
          </w:tcPr>
          <w:p w14:paraId="1250A654" w14:textId="77777777" w:rsidR="002F47F1" w:rsidRPr="00AA4C10" w:rsidRDefault="002F47F1" w:rsidP="00CD1827">
            <w:pPr>
              <w:pStyle w:val="a4"/>
              <w:spacing w:before="0" w:beforeAutospacing="0" w:after="0" w:afterAutospacing="0" w:line="360" w:lineRule="auto"/>
              <w:jc w:val="both"/>
              <w:rPr>
                <w:lang w:val="ru-RU"/>
              </w:rPr>
            </w:pPr>
            <w:r w:rsidRPr="00AA4C10">
              <w:rPr>
                <w:lang w:bidi="en-US"/>
              </w:rPr>
              <w:t>~32 μg</w:t>
            </w:r>
          </w:p>
        </w:tc>
      </w:tr>
    </w:tbl>
    <w:p w14:paraId="7C54C335" w14:textId="3FE6CA09" w:rsidR="00E073E0" w:rsidRPr="00911C75" w:rsidRDefault="00E073E0" w:rsidP="00A53928">
      <w:pPr>
        <w:pStyle w:val="a4"/>
        <w:spacing w:before="0" w:beforeAutospacing="0" w:after="0" w:afterAutospacing="0" w:line="360" w:lineRule="auto"/>
        <w:jc w:val="both"/>
      </w:pPr>
      <w:r w:rsidRPr="00AA4C10">
        <w:rPr>
          <w:b/>
          <w:i/>
          <w:lang w:bidi="en-US"/>
        </w:rPr>
        <w:t xml:space="preserve">Excipients: </w:t>
      </w:r>
      <w:r w:rsidRPr="00AA4C10">
        <w:rPr>
          <w:lang w:bidi="en-US"/>
        </w:rPr>
        <w:t>aluminum phosphate — 0.5 mg (0.125 mg calculated based on aluminum), sodium chloride — 4.25 mg, succinic acid — 0.295 mg, polysorbate 80</w:t>
      </w:r>
      <w:r w:rsidR="00DC191A">
        <w:rPr>
          <w:lang w:bidi="en-US"/>
        </w:rPr>
        <w:t xml:space="preserve"> — 0.1 mg, water for injections </w:t>
      </w:r>
      <w:r w:rsidRPr="00AA4C10">
        <w:rPr>
          <w:lang w:bidi="en-US"/>
        </w:rPr>
        <w:t>— up to 0.5 mL.</w:t>
      </w:r>
    </w:p>
    <w:p w14:paraId="5AD1B98B" w14:textId="77777777" w:rsidR="00A93A34" w:rsidRPr="00911C75" w:rsidRDefault="00A93A34" w:rsidP="00A53928">
      <w:pPr>
        <w:spacing w:line="360" w:lineRule="auto"/>
        <w:jc w:val="both"/>
      </w:pPr>
    </w:p>
    <w:p w14:paraId="3AC7FBEA" w14:textId="77777777" w:rsidR="00E073E0" w:rsidRPr="00911C75" w:rsidRDefault="00E073E0" w:rsidP="00A53928">
      <w:pPr>
        <w:pStyle w:val="a4"/>
        <w:spacing w:before="0" w:beforeAutospacing="0" w:after="0" w:afterAutospacing="0" w:line="360" w:lineRule="auto"/>
        <w:jc w:val="both"/>
        <w:rPr>
          <w:b/>
          <w:bCs/>
        </w:rPr>
      </w:pPr>
      <w:r w:rsidRPr="004223F0">
        <w:rPr>
          <w:b/>
          <w:lang w:bidi="en-US"/>
        </w:rPr>
        <w:t>DESCRIPTION</w:t>
      </w:r>
    </w:p>
    <w:p w14:paraId="2518017F" w14:textId="77777777" w:rsidR="00E073E0" w:rsidRPr="00911C75" w:rsidRDefault="00E073E0" w:rsidP="00A53928">
      <w:pPr>
        <w:pStyle w:val="a4"/>
        <w:spacing w:before="0" w:beforeAutospacing="0" w:after="0" w:afterAutospacing="0" w:line="360" w:lineRule="auto"/>
        <w:jc w:val="both"/>
        <w:rPr>
          <w:bCs/>
          <w:spacing w:val="-8"/>
        </w:rPr>
      </w:pPr>
      <w:r w:rsidRPr="004223F0">
        <w:rPr>
          <w:spacing w:val="-2"/>
          <w:lang w:bidi="en-US"/>
        </w:rPr>
        <w:t>White homogenous suspension.</w:t>
      </w:r>
    </w:p>
    <w:p w14:paraId="24FE3589" w14:textId="77777777" w:rsidR="00A93A34" w:rsidRPr="00911C75" w:rsidRDefault="00A93A34" w:rsidP="00A53928">
      <w:pPr>
        <w:pStyle w:val="a4"/>
        <w:spacing w:before="0" w:beforeAutospacing="0" w:after="0" w:afterAutospacing="0" w:line="360" w:lineRule="auto"/>
        <w:jc w:val="both"/>
        <w:rPr>
          <w:b/>
          <w:bCs/>
        </w:rPr>
      </w:pPr>
    </w:p>
    <w:p w14:paraId="47589EC9" w14:textId="77777777" w:rsidR="00900328" w:rsidRPr="00911C75" w:rsidRDefault="007F73FD" w:rsidP="00A53928">
      <w:pPr>
        <w:pStyle w:val="a4"/>
        <w:spacing w:before="0" w:beforeAutospacing="0" w:after="0" w:afterAutospacing="0" w:line="360" w:lineRule="auto"/>
        <w:jc w:val="both"/>
        <w:rPr>
          <w:bCs/>
          <w:spacing w:val="-2"/>
        </w:rPr>
      </w:pPr>
      <w:r w:rsidRPr="004223F0">
        <w:rPr>
          <w:b/>
          <w:lang w:bidi="en-US"/>
        </w:rPr>
        <w:t xml:space="preserve">PHARMACOTHERAPEUTIC GROUP: </w:t>
      </w:r>
      <w:r w:rsidRPr="004223F0">
        <w:rPr>
          <w:spacing w:val="-2"/>
          <w:lang w:bidi="en-US"/>
        </w:rPr>
        <w:t>Medical immunobiological drug vaccine.</w:t>
      </w:r>
    </w:p>
    <w:p w14:paraId="2DD072F1" w14:textId="77777777" w:rsidR="00E073E0" w:rsidRPr="00911C75" w:rsidRDefault="00E073E0" w:rsidP="00A53928">
      <w:pPr>
        <w:pStyle w:val="a4"/>
        <w:spacing w:before="0" w:beforeAutospacing="0" w:after="0" w:afterAutospacing="0" w:line="360" w:lineRule="auto"/>
        <w:jc w:val="both"/>
      </w:pPr>
      <w:r w:rsidRPr="004223F0">
        <w:rPr>
          <w:b/>
          <w:lang w:bidi="en-US"/>
        </w:rPr>
        <w:t>ATC code:</w:t>
      </w:r>
      <w:r w:rsidRPr="004223F0">
        <w:rPr>
          <w:lang w:bidi="en-US"/>
        </w:rPr>
        <w:t xml:space="preserve"> J07AL02</w:t>
      </w:r>
    </w:p>
    <w:p w14:paraId="30D64CF0" w14:textId="77777777" w:rsidR="00A53928" w:rsidRPr="00911C75" w:rsidRDefault="00A53928" w:rsidP="00B507FB">
      <w:pPr>
        <w:spacing w:line="360" w:lineRule="auto"/>
        <w:rPr>
          <w:b/>
        </w:rPr>
      </w:pPr>
    </w:p>
    <w:p w14:paraId="28524E4F" w14:textId="77777777" w:rsidR="00B4765E" w:rsidRPr="00911C75" w:rsidRDefault="00E073E0" w:rsidP="00B4765E">
      <w:pPr>
        <w:spacing w:line="360" w:lineRule="auto"/>
        <w:jc w:val="both"/>
        <w:rPr>
          <w:b/>
        </w:rPr>
      </w:pPr>
      <w:r w:rsidRPr="004223F0">
        <w:rPr>
          <w:b/>
          <w:lang w:bidi="en-US"/>
        </w:rPr>
        <w:t>IMMUNOLOGICAL PROPERTIES</w:t>
      </w:r>
    </w:p>
    <w:p w14:paraId="7892EC3C" w14:textId="77777777" w:rsidR="00160D9D" w:rsidRPr="00911C75" w:rsidRDefault="00160D9D" w:rsidP="00160D9D">
      <w:pPr>
        <w:spacing w:line="360" w:lineRule="auto"/>
        <w:jc w:val="both"/>
        <w:rPr>
          <w:bCs/>
        </w:rPr>
      </w:pPr>
      <w:r w:rsidRPr="00160D9D">
        <w:rPr>
          <w:lang w:bidi="en-US"/>
        </w:rPr>
        <w:t>Injection of Prevenar</w:t>
      </w:r>
      <w:r w:rsidRPr="00160D9D">
        <w:rPr>
          <w:vertAlign w:val="superscript"/>
          <w:lang w:bidi="en-US"/>
        </w:rPr>
        <w:t>®</w:t>
      </w:r>
      <w:r w:rsidRPr="00160D9D">
        <w:rPr>
          <w:lang w:bidi="en-US"/>
        </w:rPr>
        <w:t xml:space="preserve"> 13 vaccine causes production of antibodies to capsular polysaccharides of Streptococcus pneumoniae, thereby providing specific protection against infections caused by 1, 3, 4, 5, 6A, 6B, 7F, 9V, 14, 18C, 19A, 19F and 23F pneumococcus serotypes included into the vaccine.</w:t>
      </w:r>
    </w:p>
    <w:p w14:paraId="377DBB33" w14:textId="77777777" w:rsidR="00160D9D" w:rsidRPr="00911C75" w:rsidRDefault="00160D9D" w:rsidP="00160D9D">
      <w:pPr>
        <w:spacing w:line="360" w:lineRule="auto"/>
        <w:jc w:val="both"/>
      </w:pPr>
      <w:r w:rsidRPr="00160D9D">
        <w:rPr>
          <w:lang w:bidi="en-US"/>
        </w:rPr>
        <w:t>WHO recommendations for new conjugated pneumococcal vaccines determined the equivalence of Prevenar</w:t>
      </w:r>
      <w:r w:rsidRPr="00160D9D">
        <w:rPr>
          <w:vertAlign w:val="superscript"/>
          <w:lang w:bidi="en-US"/>
        </w:rPr>
        <w:t>®</w:t>
      </w:r>
      <w:r w:rsidRPr="00160D9D">
        <w:rPr>
          <w:lang w:bidi="en-US"/>
        </w:rPr>
        <w:t xml:space="preserve"> 13 immune response according to three criteria: percentage of patients attaining the concentration of IgG specific antibodies </w:t>
      </w:r>
      <w:r w:rsidRPr="00160D9D">
        <w:rPr>
          <w:lang w:bidi="en-US"/>
        </w:rPr>
        <w:sym w:font="Symbol" w:char="F0B3"/>
      </w:r>
      <w:r w:rsidRPr="00160D9D">
        <w:rPr>
          <w:lang w:bidi="en-US"/>
        </w:rPr>
        <w:t xml:space="preserve">0.35 μg/mL, geometric mean concentrations (GMC) of immunoglobulins, and the opsonophagocytic activity (OPA) of bactericidal antibodies (OPA titre </w:t>
      </w:r>
      <w:r w:rsidRPr="00160D9D">
        <w:rPr>
          <w:lang w:bidi="en-US"/>
        </w:rPr>
        <w:sym w:font="Symbol" w:char="F0B3"/>
      </w:r>
      <w:r w:rsidRPr="00160D9D">
        <w:rPr>
          <w:lang w:bidi="en-US"/>
        </w:rPr>
        <w:t>1:8 and geometric mean titres (GMT)). No protective level of anti-pneumococcal antibodies has been defined for adults, and serotype-specific OPA (GMT) is used.</w:t>
      </w:r>
    </w:p>
    <w:p w14:paraId="6D8361AD" w14:textId="0C195E06" w:rsidR="00160D9D" w:rsidRPr="00911C75" w:rsidRDefault="00160D9D" w:rsidP="00160D9D">
      <w:pPr>
        <w:spacing w:line="360" w:lineRule="auto"/>
        <w:jc w:val="both"/>
        <w:rPr>
          <w:bCs/>
        </w:rPr>
      </w:pPr>
      <w:r w:rsidRPr="00160D9D">
        <w:rPr>
          <w:lang w:bidi="en-US"/>
        </w:rPr>
        <w:t>Prevenar</w:t>
      </w:r>
      <w:r w:rsidRPr="00160D9D">
        <w:rPr>
          <w:vertAlign w:val="superscript"/>
          <w:lang w:bidi="en-US"/>
        </w:rPr>
        <w:t>®</w:t>
      </w:r>
      <w:r w:rsidRPr="00160D9D">
        <w:rPr>
          <w:lang w:bidi="en-US"/>
        </w:rPr>
        <w:t xml:space="preserve"> 13 vaccine includes up to 90% of the serotypes causing invasive pneumococcal infections (IPIs), including antibiotic resistant variants.</w:t>
      </w:r>
    </w:p>
    <w:p w14:paraId="644714FE" w14:textId="77777777" w:rsidR="00160D9D" w:rsidRPr="00911C75" w:rsidRDefault="00160D9D" w:rsidP="00160D9D">
      <w:pPr>
        <w:spacing w:line="360" w:lineRule="auto"/>
        <w:jc w:val="both"/>
        <w:rPr>
          <w:b/>
          <w:bCs/>
          <w:i/>
        </w:rPr>
      </w:pPr>
      <w:r w:rsidRPr="00160D9D">
        <w:rPr>
          <w:b/>
          <w:i/>
          <w:lang w:bidi="en-US"/>
        </w:rPr>
        <w:t>Immune response to three or two doses in a primary vaccination series</w:t>
      </w:r>
    </w:p>
    <w:p w14:paraId="15FD4AE3" w14:textId="77777777" w:rsidR="00160D9D" w:rsidRPr="00911C75" w:rsidRDefault="00160D9D" w:rsidP="00160D9D">
      <w:pPr>
        <w:spacing w:line="360" w:lineRule="auto"/>
        <w:jc w:val="both"/>
        <w:rPr>
          <w:bCs/>
        </w:rPr>
      </w:pPr>
      <w:r w:rsidRPr="00160D9D">
        <w:rPr>
          <w:lang w:bidi="en-US"/>
        </w:rPr>
        <w:t xml:space="preserve">Children under 6 months showed a significant rise in the levels of antibodies to all vaccine serotypes after the injection of </w:t>
      </w:r>
      <w:r w:rsidRPr="00160D9D">
        <w:rPr>
          <w:b/>
          <w:lang w:bidi="en-US"/>
        </w:rPr>
        <w:t>three doses</w:t>
      </w:r>
      <w:r w:rsidRPr="00160D9D">
        <w:rPr>
          <w:lang w:bidi="en-US"/>
        </w:rPr>
        <w:t xml:space="preserve"> of Prevenar</w:t>
      </w:r>
      <w:r w:rsidRPr="00160D9D">
        <w:rPr>
          <w:vertAlign w:val="superscript"/>
          <w:lang w:bidi="en-US"/>
        </w:rPr>
        <w:t>®</w:t>
      </w:r>
      <w:r w:rsidRPr="00160D9D">
        <w:rPr>
          <w:lang w:bidi="en-US"/>
        </w:rPr>
        <w:t xml:space="preserve"> 13 in primary vaccination.</w:t>
      </w:r>
    </w:p>
    <w:p w14:paraId="312EAE8C" w14:textId="77777777" w:rsidR="00160D9D" w:rsidRPr="00911C75" w:rsidRDefault="00160D9D" w:rsidP="00160D9D">
      <w:pPr>
        <w:spacing w:line="360" w:lineRule="auto"/>
        <w:jc w:val="both"/>
        <w:rPr>
          <w:bCs/>
        </w:rPr>
      </w:pPr>
      <w:r w:rsidRPr="00160D9D">
        <w:rPr>
          <w:lang w:bidi="en-US"/>
        </w:rPr>
        <w:t>Children of this age group also showed a significant rise in the titres of antibodies to all vaccine components following the injection of</w:t>
      </w:r>
      <w:r w:rsidRPr="00160D9D">
        <w:rPr>
          <w:b/>
          <w:lang w:bidi="en-US"/>
        </w:rPr>
        <w:t xml:space="preserve"> two doses</w:t>
      </w:r>
      <w:r w:rsidRPr="00160D9D">
        <w:rPr>
          <w:lang w:bidi="en-US"/>
        </w:rPr>
        <w:t xml:space="preserve"> of Prevenar</w:t>
      </w:r>
      <w:r w:rsidRPr="00160D9D">
        <w:rPr>
          <w:vertAlign w:val="superscript"/>
          <w:lang w:bidi="en-US"/>
        </w:rPr>
        <w:t>®</w:t>
      </w:r>
      <w:r w:rsidRPr="00160D9D">
        <w:rPr>
          <w:lang w:bidi="en-US"/>
        </w:rPr>
        <w:t xml:space="preserve"> 13 in primary vaccination during the mass immunization; IgG level </w:t>
      </w:r>
      <w:r w:rsidRPr="00160D9D">
        <w:rPr>
          <w:lang w:bidi="en-US"/>
        </w:rPr>
        <w:sym w:font="Symbol" w:char="F0B3"/>
      </w:r>
      <w:r w:rsidRPr="00160D9D">
        <w:rPr>
          <w:lang w:bidi="en-US"/>
        </w:rPr>
        <w:t xml:space="preserve">0.35 μg/mL for serotypes 6B and 23F was detected in a smaller percentage of children. However, there was a pronounced booster response to revaccination for all serotypes. Immune memory formation has been confirmed for both vaccination schedules mentioned above. The secondary immune response to the booster dose in </w:t>
      </w:r>
      <w:r w:rsidRPr="00160D9D">
        <w:rPr>
          <w:lang w:bidi="en-US"/>
        </w:rPr>
        <w:lastRenderedPageBreak/>
        <w:t xml:space="preserve">children of the second year of life is comparable for all 13 serotypes when using </w:t>
      </w:r>
      <w:r w:rsidRPr="00160D9D">
        <w:rPr>
          <w:b/>
          <w:lang w:bidi="en-US"/>
        </w:rPr>
        <w:t xml:space="preserve">three </w:t>
      </w:r>
      <w:r w:rsidRPr="00160D9D">
        <w:rPr>
          <w:lang w:bidi="en-US"/>
        </w:rPr>
        <w:t xml:space="preserve">or </w:t>
      </w:r>
      <w:r w:rsidRPr="00160D9D">
        <w:rPr>
          <w:b/>
          <w:lang w:bidi="en-US"/>
        </w:rPr>
        <w:t xml:space="preserve">two </w:t>
      </w:r>
      <w:r w:rsidRPr="00160D9D">
        <w:rPr>
          <w:lang w:bidi="en-US"/>
        </w:rPr>
        <w:t>doses in the primary vaccination series.</w:t>
      </w:r>
    </w:p>
    <w:p w14:paraId="66EB00A8" w14:textId="77777777" w:rsidR="00160D9D" w:rsidRPr="00911C75" w:rsidRDefault="00160D9D" w:rsidP="00160D9D">
      <w:pPr>
        <w:spacing w:line="360" w:lineRule="auto"/>
        <w:jc w:val="both"/>
        <w:rPr>
          <w:bCs/>
        </w:rPr>
      </w:pPr>
      <w:r w:rsidRPr="00160D9D">
        <w:rPr>
          <w:lang w:bidi="en-US"/>
        </w:rPr>
        <w:t>After the completed vaccination course beginning from the age of two months, the level of specific protective anti-pneumococcal antibodies and their opsonophagocytic antibodies was above the protective values in 87-100% of the preterm infants (born at &lt;37 weeks of gestation, including deep-premature infants born at &lt;28 weeks of gestation) vaccinated against all thirteen serotypes.</w:t>
      </w:r>
    </w:p>
    <w:p w14:paraId="60851807" w14:textId="77777777" w:rsidR="00160D9D" w:rsidRPr="00911C75" w:rsidRDefault="00160D9D" w:rsidP="00160D9D">
      <w:pPr>
        <w:spacing w:line="360" w:lineRule="auto"/>
        <w:jc w:val="both"/>
        <w:rPr>
          <w:b/>
          <w:bCs/>
          <w:i/>
        </w:rPr>
      </w:pPr>
      <w:r w:rsidRPr="00160D9D">
        <w:rPr>
          <w:b/>
          <w:i/>
          <w:lang w:bidi="en-US"/>
        </w:rPr>
        <w:t>Immunogenicity in children and adolescents aged 5 to 17 years</w:t>
      </w:r>
    </w:p>
    <w:p w14:paraId="6CF7AD11" w14:textId="77777777" w:rsidR="00160D9D" w:rsidRPr="00911C75" w:rsidRDefault="00160D9D" w:rsidP="00160D9D">
      <w:pPr>
        <w:spacing w:line="360" w:lineRule="auto"/>
        <w:jc w:val="both"/>
        <w:rPr>
          <w:bCs/>
        </w:rPr>
      </w:pPr>
      <w:r w:rsidRPr="00160D9D">
        <w:rPr>
          <w:lang w:bidi="en-US"/>
        </w:rPr>
        <w:t>After one dose of Prevenar</w:t>
      </w:r>
      <w:r w:rsidRPr="00160D9D">
        <w:rPr>
          <w:vertAlign w:val="superscript"/>
          <w:lang w:bidi="en-US"/>
        </w:rPr>
        <w:t>®</w:t>
      </w:r>
      <w:r w:rsidRPr="00160D9D">
        <w:rPr>
          <w:lang w:bidi="en-US"/>
        </w:rPr>
        <w:t xml:space="preserve"> 13, the children aged 5 to &lt;10 years who previously received at least one dose of a 7-valent pneumococcal conjugated vaccine, as well as previously unvaccinated children and adolescents aged 10 to 17 years, demonstrated an immune response to all 13 serotypes equivalent to that in the children aged 12 to 15 months vaccinated with four doses of Prevenar</w:t>
      </w:r>
      <w:r w:rsidRPr="00160D9D">
        <w:rPr>
          <w:vertAlign w:val="superscript"/>
          <w:lang w:bidi="en-US"/>
        </w:rPr>
        <w:t>®</w:t>
      </w:r>
      <w:r w:rsidRPr="00160D9D">
        <w:rPr>
          <w:lang w:bidi="en-US"/>
        </w:rPr>
        <w:t xml:space="preserve"> 13.</w:t>
      </w:r>
    </w:p>
    <w:p w14:paraId="74B74DEC" w14:textId="77777777" w:rsidR="00160D9D" w:rsidRPr="00911C75" w:rsidRDefault="00160D9D" w:rsidP="00160D9D">
      <w:pPr>
        <w:spacing w:line="360" w:lineRule="auto"/>
        <w:jc w:val="both"/>
        <w:rPr>
          <w:bCs/>
        </w:rPr>
      </w:pPr>
      <w:r w:rsidRPr="00160D9D">
        <w:rPr>
          <w:lang w:bidi="en-US"/>
        </w:rPr>
        <w:t>A single injection of Prevenar</w:t>
      </w:r>
      <w:r w:rsidRPr="00160D9D">
        <w:rPr>
          <w:vertAlign w:val="superscript"/>
          <w:lang w:bidi="en-US"/>
        </w:rPr>
        <w:t>®</w:t>
      </w:r>
      <w:r w:rsidRPr="00160D9D">
        <w:rPr>
          <w:lang w:bidi="en-US"/>
        </w:rPr>
        <w:t xml:space="preserve"> 13 to children aged 5 to 17 years may ensure the required immune response to all pathogen serotypes included into the vaccine.</w:t>
      </w:r>
    </w:p>
    <w:p w14:paraId="3735548A" w14:textId="77777777" w:rsidR="00160D9D" w:rsidRPr="00911C75" w:rsidRDefault="00160D9D" w:rsidP="00160D9D">
      <w:pPr>
        <w:spacing w:line="360" w:lineRule="auto"/>
        <w:jc w:val="both"/>
        <w:rPr>
          <w:b/>
          <w:bCs/>
          <w:i/>
        </w:rPr>
      </w:pPr>
      <w:r w:rsidRPr="00160D9D">
        <w:rPr>
          <w:b/>
          <w:i/>
          <w:lang w:bidi="en-US"/>
        </w:rPr>
        <w:t>Efficiency of Prevenar</w:t>
      </w:r>
      <w:r w:rsidRPr="00160D9D">
        <w:rPr>
          <w:b/>
          <w:i/>
          <w:vertAlign w:val="superscript"/>
          <w:lang w:bidi="en-US"/>
        </w:rPr>
        <w:t>®</w:t>
      </w:r>
      <w:r w:rsidRPr="00160D9D">
        <w:rPr>
          <w:b/>
          <w:i/>
          <w:lang w:bidi="en-US"/>
        </w:rPr>
        <w:t xml:space="preserve"> 13</w:t>
      </w:r>
    </w:p>
    <w:p w14:paraId="13F90B13" w14:textId="77777777" w:rsidR="00160D9D" w:rsidRPr="00911C75" w:rsidRDefault="00160D9D" w:rsidP="00160D9D">
      <w:pPr>
        <w:spacing w:line="360" w:lineRule="auto"/>
        <w:jc w:val="both"/>
        <w:rPr>
          <w:b/>
          <w:bCs/>
          <w:i/>
        </w:rPr>
      </w:pPr>
      <w:r w:rsidRPr="00160D9D">
        <w:rPr>
          <w:b/>
          <w:i/>
          <w:lang w:bidi="en-US"/>
        </w:rPr>
        <w:t>Invasive pneumococcal infections (IPI)</w:t>
      </w:r>
    </w:p>
    <w:p w14:paraId="542AA2AE" w14:textId="77777777" w:rsidR="00160D9D" w:rsidRPr="00911C75" w:rsidRDefault="00160D9D" w:rsidP="00160D9D">
      <w:pPr>
        <w:spacing w:line="360" w:lineRule="auto"/>
        <w:jc w:val="both"/>
        <w:rPr>
          <w:bCs/>
        </w:rPr>
      </w:pPr>
      <w:r w:rsidRPr="00160D9D">
        <w:rPr>
          <w:lang w:bidi="en-US"/>
        </w:rPr>
        <w:t>A 98% (95% CI: 95; 99) decrease in the incidence of IPIs caused by vaccine-specific serotypes was reported four years after the introduction of Prevenar</w:t>
      </w:r>
      <w:r w:rsidRPr="00160D9D">
        <w:rPr>
          <w:vertAlign w:val="superscript"/>
          <w:lang w:bidi="en-US"/>
        </w:rPr>
        <w:t>®</w:t>
      </w:r>
      <w:r w:rsidRPr="00160D9D">
        <w:rPr>
          <w:lang w:bidi="en-US"/>
        </w:rPr>
        <w:t xml:space="preserve"> using the 2+1 scheme (two doses in the first year of life and a single revaccination in the second year of life) with 94% vaccination coverage. Following the transition to Prevenar</w:t>
      </w:r>
      <w:r w:rsidRPr="00160D9D">
        <w:rPr>
          <w:vertAlign w:val="superscript"/>
          <w:lang w:bidi="en-US"/>
        </w:rPr>
        <w:t>®</w:t>
      </w:r>
      <w:r w:rsidRPr="00160D9D">
        <w:rPr>
          <w:lang w:bidi="en-US"/>
        </w:rPr>
        <w:t xml:space="preserve"> 13, a further decrease in the incidence of IPIs caused by vaccine-specific additional serotypes comprised from 76% in children younger than 2 years to 91% in children aged 5 to 14 years. </w:t>
      </w:r>
    </w:p>
    <w:p w14:paraId="02AFD1B2" w14:textId="77777777" w:rsidR="00160D9D" w:rsidRPr="00911C75" w:rsidRDefault="00160D9D" w:rsidP="00160D9D">
      <w:pPr>
        <w:spacing w:line="360" w:lineRule="auto"/>
        <w:jc w:val="both"/>
        <w:rPr>
          <w:bCs/>
        </w:rPr>
      </w:pPr>
      <w:r w:rsidRPr="00160D9D">
        <w:rPr>
          <w:lang w:bidi="en-US"/>
        </w:rPr>
        <w:t>Serotype-specific efficacy against IPIs for additional Prevenar</w:t>
      </w:r>
      <w:r w:rsidRPr="00160D9D">
        <w:rPr>
          <w:vertAlign w:val="superscript"/>
          <w:lang w:bidi="en-US"/>
        </w:rPr>
        <w:t>®</w:t>
      </w:r>
      <w:r w:rsidRPr="00160D9D">
        <w:rPr>
          <w:lang w:bidi="en-US"/>
        </w:rPr>
        <w:t xml:space="preserve"> 13 serotypes in children aged ≤5 years ranged from 68% to 100% (serotypes 3 and 6A, respectively), and was 91% for serotypes 1, 7F and 19A, with no cases of IPIs caused by serotype 5. After the inclusion of Prevenar</w:t>
      </w:r>
      <w:r w:rsidRPr="00160D9D">
        <w:rPr>
          <w:vertAlign w:val="superscript"/>
          <w:lang w:bidi="en-US"/>
        </w:rPr>
        <w:t>®</w:t>
      </w:r>
      <w:r w:rsidRPr="00160D9D">
        <w:rPr>
          <w:lang w:bidi="en-US"/>
        </w:rPr>
        <w:t xml:space="preserve"> 13 into national immunization programs, the incidence of IPIs caused by serotype 3 in children under 5 years of age decreased by 68% (95% CI 6-89%). A case control study in this age group showed a 79.5% decrease in the incidence of IPIs caused by serotype 3 (95% CI 30.3-94.8). </w:t>
      </w:r>
    </w:p>
    <w:p w14:paraId="2E0C3D08" w14:textId="77777777" w:rsidR="00160D9D" w:rsidRPr="00911C75" w:rsidRDefault="00160D9D" w:rsidP="00160D9D">
      <w:pPr>
        <w:spacing w:line="360" w:lineRule="auto"/>
        <w:jc w:val="both"/>
        <w:rPr>
          <w:b/>
          <w:bCs/>
          <w:i/>
        </w:rPr>
      </w:pPr>
      <w:r w:rsidRPr="00160D9D">
        <w:rPr>
          <w:b/>
          <w:i/>
          <w:lang w:bidi="en-US"/>
        </w:rPr>
        <w:t>Otitis media (OM)</w:t>
      </w:r>
    </w:p>
    <w:p w14:paraId="268E2B8F" w14:textId="77777777" w:rsidR="00160D9D" w:rsidRPr="00911C75" w:rsidRDefault="00160D9D" w:rsidP="00160D9D">
      <w:pPr>
        <w:spacing w:line="360" w:lineRule="auto"/>
        <w:jc w:val="both"/>
        <w:rPr>
          <w:bCs/>
        </w:rPr>
      </w:pPr>
      <w:r w:rsidRPr="00160D9D">
        <w:rPr>
          <w:lang w:bidi="en-US"/>
        </w:rPr>
        <w:t>Following the introduction of Prevenar</w:t>
      </w:r>
      <w:r w:rsidRPr="00160D9D">
        <w:rPr>
          <w:vertAlign w:val="superscript"/>
          <w:lang w:bidi="en-US"/>
        </w:rPr>
        <w:t>®</w:t>
      </w:r>
      <w:r w:rsidRPr="00160D9D">
        <w:rPr>
          <w:lang w:bidi="en-US"/>
        </w:rPr>
        <w:t xml:space="preserve"> vaccination and transition to Prevenar</w:t>
      </w:r>
      <w:r w:rsidRPr="00160D9D">
        <w:rPr>
          <w:vertAlign w:val="superscript"/>
          <w:lang w:bidi="en-US"/>
        </w:rPr>
        <w:t>®</w:t>
      </w:r>
      <w:r w:rsidRPr="00160D9D">
        <w:rPr>
          <w:lang w:bidi="en-US"/>
        </w:rPr>
        <w:t xml:space="preserve"> 13 using the 2+1 scheme, a 95% decrease has been demonstrated in the incidence of OM caused by serotypes 4, 6B, 9V, 14, 18C, 19F, 23F and serotype 6A, as well as an 89% decrease in the incidence of OM caused by serotypes 1, 3, 5, 7F and 19A.</w:t>
      </w:r>
    </w:p>
    <w:p w14:paraId="3729DAA7" w14:textId="77777777" w:rsidR="00160D9D" w:rsidRPr="00911C75" w:rsidRDefault="00160D9D" w:rsidP="00DC191A">
      <w:pPr>
        <w:keepNext/>
        <w:spacing w:line="360" w:lineRule="auto"/>
        <w:jc w:val="both"/>
        <w:rPr>
          <w:b/>
          <w:bCs/>
          <w:i/>
        </w:rPr>
      </w:pPr>
      <w:r w:rsidRPr="00160D9D">
        <w:rPr>
          <w:b/>
          <w:i/>
          <w:lang w:bidi="en-US"/>
        </w:rPr>
        <w:lastRenderedPageBreak/>
        <w:t>Pneumonia</w:t>
      </w:r>
    </w:p>
    <w:p w14:paraId="5BB5FA01" w14:textId="77777777" w:rsidR="00160D9D" w:rsidRPr="00911C75" w:rsidRDefault="00160D9D" w:rsidP="00160D9D">
      <w:pPr>
        <w:spacing w:line="360" w:lineRule="auto"/>
        <w:jc w:val="both"/>
        <w:rPr>
          <w:bCs/>
        </w:rPr>
      </w:pPr>
      <w:r w:rsidRPr="00160D9D">
        <w:rPr>
          <w:lang w:bidi="en-US"/>
        </w:rPr>
        <w:t>The transition from Prevenar</w:t>
      </w:r>
      <w:r w:rsidRPr="00160D9D">
        <w:rPr>
          <w:vertAlign w:val="superscript"/>
          <w:lang w:bidi="en-US"/>
        </w:rPr>
        <w:t xml:space="preserve">® </w:t>
      </w:r>
      <w:r w:rsidRPr="00160D9D">
        <w:rPr>
          <w:lang w:bidi="en-US"/>
        </w:rPr>
        <w:t>to Prevenar</w:t>
      </w:r>
      <w:r w:rsidRPr="00160D9D">
        <w:rPr>
          <w:vertAlign w:val="superscript"/>
          <w:lang w:bidi="en-US"/>
        </w:rPr>
        <w:t>®</w:t>
      </w:r>
      <w:r w:rsidRPr="00160D9D">
        <w:rPr>
          <w:lang w:bidi="en-US"/>
        </w:rPr>
        <w:t xml:space="preserve"> 13 was followed by a 16% reduction in the incidence of all community-acquired pneumonia (CAP) cases in children aged from 1 month to 15 years. CAP cases with pleural effusion decreased by 53% (p &lt;0.001), and pneumococcal CAPs decreased by 63% (p &lt;0.001). In the second year following the introduction of Prevenar</w:t>
      </w:r>
      <w:r w:rsidRPr="00160D9D">
        <w:rPr>
          <w:vertAlign w:val="superscript"/>
          <w:lang w:bidi="en-US"/>
        </w:rPr>
        <w:t>®</w:t>
      </w:r>
      <w:r w:rsidRPr="00160D9D">
        <w:rPr>
          <w:lang w:bidi="en-US"/>
        </w:rPr>
        <w:t xml:space="preserve"> 13, there was a 74% decrease in the incidence of CAPs caused by 6 additional Prevenar</w:t>
      </w:r>
      <w:r w:rsidRPr="00160D9D">
        <w:rPr>
          <w:vertAlign w:val="superscript"/>
          <w:lang w:bidi="en-US"/>
        </w:rPr>
        <w:t>®</w:t>
      </w:r>
      <w:r w:rsidRPr="00160D9D">
        <w:rPr>
          <w:lang w:bidi="en-US"/>
        </w:rPr>
        <w:t xml:space="preserve"> 13 serotypes. The introduction of Prevenar</w:t>
      </w:r>
      <w:r w:rsidRPr="00160D9D">
        <w:rPr>
          <w:vertAlign w:val="superscript"/>
          <w:lang w:bidi="en-US"/>
        </w:rPr>
        <w:t>®</w:t>
      </w:r>
      <w:r w:rsidRPr="00160D9D">
        <w:rPr>
          <w:lang w:bidi="en-US"/>
        </w:rPr>
        <w:t xml:space="preserve"> 13 vaccination using the 2+1 scheme was marked by a 68% (95% CI: 73; 61) decrease in outpatient visits and a 32% (95% CI: 39; 22) decrease in hospitalizations for alveolar CAP of any etiology in children under 5 years of age.</w:t>
      </w:r>
    </w:p>
    <w:p w14:paraId="6F44E12F" w14:textId="77777777" w:rsidR="00160D9D" w:rsidRPr="00911C75" w:rsidRDefault="00160D9D" w:rsidP="00160D9D">
      <w:pPr>
        <w:spacing w:line="360" w:lineRule="auto"/>
        <w:jc w:val="both"/>
        <w:rPr>
          <w:b/>
          <w:bCs/>
          <w:i/>
        </w:rPr>
      </w:pPr>
      <w:r w:rsidRPr="00160D9D">
        <w:rPr>
          <w:b/>
          <w:i/>
          <w:lang w:bidi="en-US"/>
        </w:rPr>
        <w:t>Reduced antimicrobial resistance (AMR)</w:t>
      </w:r>
    </w:p>
    <w:p w14:paraId="407FCCB3" w14:textId="77777777" w:rsidR="00160D9D" w:rsidRPr="00911C75" w:rsidRDefault="00160D9D" w:rsidP="00160D9D">
      <w:pPr>
        <w:spacing w:line="360" w:lineRule="auto"/>
        <w:jc w:val="both"/>
        <w:rPr>
          <w:bCs/>
        </w:rPr>
      </w:pPr>
      <w:r w:rsidRPr="00160D9D">
        <w:rPr>
          <w:lang w:bidi="en-US"/>
        </w:rPr>
        <w:t>Following the introduction of Prevenar</w:t>
      </w:r>
      <w:r w:rsidRPr="00160D9D">
        <w:rPr>
          <w:vertAlign w:val="superscript"/>
          <w:lang w:bidi="en-US"/>
        </w:rPr>
        <w:t>®</w:t>
      </w:r>
      <w:r w:rsidRPr="00160D9D">
        <w:rPr>
          <w:lang w:bidi="en-US"/>
        </w:rPr>
        <w:t xml:space="preserve"> 7 vaccination and later introduction of Prevenar</w:t>
      </w:r>
      <w:r w:rsidRPr="00160D9D">
        <w:rPr>
          <w:vertAlign w:val="superscript"/>
          <w:lang w:bidi="en-US"/>
        </w:rPr>
        <w:t>®</w:t>
      </w:r>
      <w:r w:rsidRPr="00160D9D">
        <w:rPr>
          <w:lang w:bidi="en-US"/>
        </w:rPr>
        <w:t xml:space="preserve"> 13, the decrease in AMR prevalence is the result of reduced circulation of AMR-related serotypes and clones, including 19A, as well as lower morbidity (population effect) and reduced administration of antimicrobial drugs.</w:t>
      </w:r>
    </w:p>
    <w:p w14:paraId="01DCB5FD" w14:textId="77777777" w:rsidR="00160D9D" w:rsidRPr="00911C75" w:rsidRDefault="00160D9D" w:rsidP="00160D9D">
      <w:pPr>
        <w:spacing w:line="360" w:lineRule="auto"/>
        <w:jc w:val="both"/>
        <w:rPr>
          <w:bCs/>
          <w:lang w:bidi="he-IL"/>
        </w:rPr>
      </w:pPr>
      <w:r w:rsidRPr="00160D9D">
        <w:rPr>
          <w:lang w:bidi="en-US"/>
        </w:rPr>
        <w:t>The US Centers for Disease Control and Prevention analyzed the usage trends across four classes of antibiotics and found that the annual incidence of IPIs caused by pneumococci resistant to macrolides, cephalosporins, penicillins and tetracycline decreased by 63%, 81%, 83% and 81%, respectively, in children younger than 5 years of age, and by 24%, 49%, 57% and 53%, respectively, in patients aged 65 and over in 2013 compared to 2009 (the last year of the use of a 7-valent pneumococcal conjugated vaccine in the US, after which it was replaced by Prevenar</w:t>
      </w:r>
      <w:r w:rsidRPr="00160D9D">
        <w:rPr>
          <w:vertAlign w:val="superscript"/>
          <w:lang w:bidi="en-US"/>
        </w:rPr>
        <w:t>®</w:t>
      </w:r>
      <w:r w:rsidRPr="00160D9D">
        <w:rPr>
          <w:lang w:bidi="en-US"/>
        </w:rPr>
        <w:t xml:space="preserve"> 13, a 13-valent conjugated pneumococcal vaccine).</w:t>
      </w:r>
    </w:p>
    <w:p w14:paraId="0B3E5EEA" w14:textId="77777777" w:rsidR="00160D9D" w:rsidRPr="00911C75" w:rsidRDefault="00160D9D" w:rsidP="00160D9D">
      <w:pPr>
        <w:spacing w:line="360" w:lineRule="auto"/>
        <w:jc w:val="both"/>
        <w:rPr>
          <w:b/>
          <w:i/>
        </w:rPr>
      </w:pPr>
      <w:r w:rsidRPr="00160D9D">
        <w:rPr>
          <w:b/>
          <w:i/>
          <w:lang w:bidi="en-US"/>
        </w:rPr>
        <w:t>Carriage and population effect</w:t>
      </w:r>
    </w:p>
    <w:p w14:paraId="72CBECBB" w14:textId="77777777" w:rsidR="00160D9D" w:rsidRPr="00911C75" w:rsidRDefault="00160D9D" w:rsidP="00160D9D">
      <w:pPr>
        <w:spacing w:line="360" w:lineRule="auto"/>
        <w:jc w:val="both"/>
      </w:pPr>
      <w:r w:rsidRPr="00160D9D">
        <w:rPr>
          <w:lang w:bidi="en-US"/>
        </w:rPr>
        <w:t>Prevenar</w:t>
      </w:r>
      <w:r w:rsidRPr="00160D9D">
        <w:rPr>
          <w:vertAlign w:val="superscript"/>
          <w:lang w:bidi="en-US"/>
        </w:rPr>
        <w:t>®</w:t>
      </w:r>
      <w:r w:rsidRPr="00160D9D">
        <w:rPr>
          <w:lang w:bidi="en-US"/>
        </w:rPr>
        <w:t xml:space="preserve"> 13 showed efficacy at reducing the nasopharyngeal carriage of vaccine-specific serotypes, including those common with Prevenar</w:t>
      </w:r>
      <w:r w:rsidRPr="00160D9D">
        <w:rPr>
          <w:vertAlign w:val="superscript"/>
          <w:lang w:bidi="en-US"/>
        </w:rPr>
        <w:t xml:space="preserve">® </w:t>
      </w:r>
      <w:r w:rsidRPr="00160D9D">
        <w:rPr>
          <w:lang w:bidi="en-US"/>
        </w:rPr>
        <w:t xml:space="preserve">vaccine (4, 6B, 9V, 14, 18C, 19F, 23F), 6 additional serotypes (1, 3, 5, 6A, 7A, 19A) and related 6C serotype. </w:t>
      </w:r>
    </w:p>
    <w:p w14:paraId="1445BBD6" w14:textId="77777777" w:rsidR="00160D9D" w:rsidRPr="00911C75" w:rsidRDefault="00160D9D" w:rsidP="00160D9D">
      <w:pPr>
        <w:spacing w:line="360" w:lineRule="auto"/>
        <w:jc w:val="both"/>
        <w:rPr>
          <w:bCs/>
        </w:rPr>
      </w:pPr>
      <w:r w:rsidRPr="00160D9D">
        <w:rPr>
          <w:lang w:bidi="en-US"/>
        </w:rPr>
        <w:t>The population effect (serotype-specific reduction of morbidity in unvaccinated individuals) has been observed in the countries where Prevenar</w:t>
      </w:r>
      <w:r w:rsidRPr="00160D9D">
        <w:rPr>
          <w:vertAlign w:val="superscript"/>
          <w:lang w:bidi="en-US"/>
        </w:rPr>
        <w:t>®</w:t>
      </w:r>
      <w:r w:rsidRPr="00160D9D">
        <w:rPr>
          <w:lang w:bidi="en-US"/>
        </w:rPr>
        <w:t xml:space="preserve"> 13 has been used in mass immunization for more than 3 years with high vaccination coverage and adherence to the immunization schedule. IPI incidence decreased by 25% among those who have not been vaccinated with Prevenar</w:t>
      </w:r>
      <w:r w:rsidRPr="00160D9D">
        <w:rPr>
          <w:vertAlign w:val="superscript"/>
          <w:lang w:bidi="en-US"/>
        </w:rPr>
        <w:t xml:space="preserve">® </w:t>
      </w:r>
      <w:r w:rsidRPr="00160D9D">
        <w:rPr>
          <w:lang w:bidi="en-US"/>
        </w:rPr>
        <w:t>13 and are 65 years and older; IPIs caused by 4, 6B, 9V, 14, 18C, 19F, 23F serotypes decreased by 89%, and IPIs caused by 6 additional serotypes (1, 3, 5, 6A, 7A, 19A) decreased by 64%. The incidence of infections caused by serotype 3 decreased by 44% (by 95% for serotype 6A and by 65% for serotype 19A).</w:t>
      </w:r>
    </w:p>
    <w:p w14:paraId="5243B950" w14:textId="77777777" w:rsidR="00160D9D" w:rsidRPr="00911C75" w:rsidRDefault="00160D9D" w:rsidP="00DC191A">
      <w:pPr>
        <w:keepNext/>
        <w:spacing w:line="360" w:lineRule="auto"/>
        <w:jc w:val="both"/>
        <w:rPr>
          <w:b/>
          <w:bCs/>
          <w:i/>
        </w:rPr>
      </w:pPr>
      <w:r w:rsidRPr="00160D9D">
        <w:rPr>
          <w:b/>
          <w:i/>
          <w:lang w:bidi="en-US"/>
        </w:rPr>
        <w:lastRenderedPageBreak/>
        <w:t>Efficiency study in adults aged 65 and over</w:t>
      </w:r>
    </w:p>
    <w:p w14:paraId="0B29113A" w14:textId="77777777" w:rsidR="00160D9D" w:rsidRPr="00911C75" w:rsidRDefault="00160D9D" w:rsidP="00160D9D">
      <w:pPr>
        <w:spacing w:line="360" w:lineRule="auto"/>
        <w:jc w:val="both"/>
        <w:rPr>
          <w:bCs/>
        </w:rPr>
      </w:pPr>
      <w:r w:rsidRPr="00160D9D">
        <w:rPr>
          <w:lang w:bidi="en-US"/>
        </w:rPr>
        <w:t>A randomized double-blind placebo-controlled trial (Clinical Immunization Trial for Community-acquired Pneumococcal Pneumonia in Adults, CAPiTA) conducted in the Netherlands demonstrated clinical efficacy of Prevenar</w:t>
      </w:r>
      <w:r w:rsidRPr="00160D9D">
        <w:rPr>
          <w:vertAlign w:val="superscript"/>
          <w:lang w:bidi="en-US"/>
        </w:rPr>
        <w:t>®</w:t>
      </w:r>
      <w:r w:rsidRPr="00160D9D">
        <w:rPr>
          <w:lang w:bidi="en-US"/>
        </w:rPr>
        <w:t xml:space="preserve"> 13 for community-acquired pneumococcal pneumonia and IPIs caused by vaccine-specific serotypes. Patients aged 65 and older (n = 84,496) received a single Prevenar</w:t>
      </w:r>
      <w:r w:rsidRPr="00160D9D">
        <w:rPr>
          <w:vertAlign w:val="superscript"/>
          <w:lang w:bidi="en-US"/>
        </w:rPr>
        <w:t>®</w:t>
      </w:r>
      <w:r w:rsidRPr="00160D9D">
        <w:rPr>
          <w:lang w:bidi="en-US"/>
        </w:rPr>
        <w:t xml:space="preserve"> 13 or placebo vaccination at 1:1 randomization.</w:t>
      </w:r>
    </w:p>
    <w:p w14:paraId="41868568" w14:textId="77777777" w:rsidR="00160D9D" w:rsidRPr="00911C75" w:rsidRDefault="00160D9D" w:rsidP="00160D9D">
      <w:pPr>
        <w:spacing w:line="360" w:lineRule="auto"/>
        <w:jc w:val="both"/>
        <w:rPr>
          <w:bCs/>
        </w:rPr>
      </w:pPr>
      <w:r w:rsidRPr="00160D9D">
        <w:rPr>
          <w:lang w:bidi="en-US"/>
        </w:rPr>
        <w:t>Prevenar</w:t>
      </w:r>
      <w:r w:rsidRPr="00160D9D">
        <w:rPr>
          <w:vertAlign w:val="superscript"/>
          <w:lang w:bidi="en-US"/>
        </w:rPr>
        <w:t>®</w:t>
      </w:r>
      <w:r w:rsidRPr="00160D9D">
        <w:rPr>
          <w:lang w:bidi="en-US"/>
        </w:rPr>
        <w:t xml:space="preserve"> 13 has demonstrated efficacy in preventing the first episodes of IPI caused by vaccine-specific serotypes (CAPiTA VSS), which was the primary endpoint of the study, and two secondary endpoints, as shown in Table 1.</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950"/>
        <w:gridCol w:w="1232"/>
        <w:gridCol w:w="1232"/>
        <w:gridCol w:w="1516"/>
        <w:gridCol w:w="1137"/>
      </w:tblGrid>
      <w:tr w:rsidR="00160D9D" w:rsidRPr="00160D9D" w14:paraId="2CD62D83" w14:textId="77777777" w:rsidTr="006D3539">
        <w:trPr>
          <w:trHeight w:val="589"/>
          <w:tblHeader/>
        </w:trPr>
        <w:tc>
          <w:tcPr>
            <w:tcW w:w="8910" w:type="dxa"/>
            <w:gridSpan w:val="6"/>
          </w:tcPr>
          <w:p w14:paraId="60B8CE7B" w14:textId="77777777" w:rsidR="00160D9D" w:rsidRPr="00911C75" w:rsidRDefault="00160D9D" w:rsidP="00160D9D">
            <w:pPr>
              <w:keepNext/>
              <w:keepLines/>
              <w:rPr>
                <w:b/>
                <w:lang w:eastAsia="ru-RU"/>
              </w:rPr>
            </w:pPr>
            <w:r w:rsidRPr="00160D9D">
              <w:rPr>
                <w:b/>
                <w:lang w:bidi="en-US"/>
              </w:rPr>
              <w:tab/>
              <w:t>Table 1. Vaccine efficacy (VE) by primary and secondary endpoints of the CAPiTA study (per population according to the protocol)</w:t>
            </w:r>
          </w:p>
        </w:tc>
      </w:tr>
      <w:tr w:rsidR="00160D9D" w:rsidRPr="00160D9D" w14:paraId="515D193A" w14:textId="77777777" w:rsidTr="006D3539">
        <w:trPr>
          <w:trHeight w:val="346"/>
          <w:tblHeader/>
        </w:trPr>
        <w:tc>
          <w:tcPr>
            <w:tcW w:w="3148" w:type="dxa"/>
            <w:vMerge w:val="restart"/>
            <w:vAlign w:val="center"/>
          </w:tcPr>
          <w:p w14:paraId="2F9CB27D" w14:textId="77777777" w:rsidR="00160D9D" w:rsidRPr="00160D9D" w:rsidRDefault="00160D9D" w:rsidP="00160D9D">
            <w:pPr>
              <w:keepNext/>
              <w:keepLines/>
              <w:jc w:val="center"/>
              <w:rPr>
                <w:b/>
                <w:lang w:val="ru-RU" w:eastAsia="ru-RU"/>
              </w:rPr>
            </w:pPr>
            <w:r w:rsidRPr="00160D9D">
              <w:rPr>
                <w:b/>
                <w:lang w:bidi="en-US"/>
              </w:rPr>
              <w:t>Primary efficacy endpoint</w:t>
            </w:r>
          </w:p>
        </w:tc>
        <w:tc>
          <w:tcPr>
            <w:tcW w:w="3242" w:type="dxa"/>
            <w:gridSpan w:val="3"/>
          </w:tcPr>
          <w:p w14:paraId="29782C38" w14:textId="77777777" w:rsidR="00160D9D" w:rsidRPr="00160D9D" w:rsidRDefault="00160D9D" w:rsidP="00160D9D">
            <w:pPr>
              <w:keepNext/>
              <w:keepLines/>
              <w:rPr>
                <w:b/>
                <w:lang w:val="ru-RU" w:eastAsia="ru-RU"/>
              </w:rPr>
            </w:pPr>
            <w:r w:rsidRPr="00160D9D">
              <w:rPr>
                <w:b/>
                <w:lang w:bidi="en-US"/>
              </w:rPr>
              <w:t>Number of cases</w:t>
            </w:r>
          </w:p>
        </w:tc>
        <w:tc>
          <w:tcPr>
            <w:tcW w:w="1440" w:type="dxa"/>
            <w:vMerge w:val="restart"/>
            <w:shd w:val="clear" w:color="auto" w:fill="auto"/>
            <w:vAlign w:val="center"/>
          </w:tcPr>
          <w:p w14:paraId="02452CC6" w14:textId="77777777" w:rsidR="00160D9D" w:rsidRPr="00160D9D" w:rsidRDefault="00160D9D" w:rsidP="00160D9D">
            <w:pPr>
              <w:keepNext/>
              <w:keepLines/>
              <w:jc w:val="center"/>
              <w:rPr>
                <w:b/>
                <w:lang w:val="ru-RU" w:eastAsia="ru-RU"/>
              </w:rPr>
            </w:pPr>
            <w:r w:rsidRPr="00160D9D">
              <w:rPr>
                <w:b/>
                <w:lang w:bidi="en-US"/>
              </w:rPr>
              <w:t>VE (%)</w:t>
            </w:r>
          </w:p>
          <w:p w14:paraId="32D365E6" w14:textId="77777777" w:rsidR="00160D9D" w:rsidRPr="00160D9D" w:rsidRDefault="00160D9D" w:rsidP="00160D9D">
            <w:pPr>
              <w:keepNext/>
              <w:keepLines/>
              <w:jc w:val="center"/>
              <w:rPr>
                <w:b/>
                <w:lang w:val="ru-RU" w:eastAsia="ru-RU"/>
              </w:rPr>
            </w:pPr>
            <w:r w:rsidRPr="00160D9D">
              <w:rPr>
                <w:b/>
                <w:lang w:bidi="en-US"/>
              </w:rPr>
              <w:t>(95.2% CI)</w:t>
            </w:r>
          </w:p>
        </w:tc>
        <w:tc>
          <w:tcPr>
            <w:tcW w:w="1080" w:type="dxa"/>
            <w:vMerge w:val="restart"/>
            <w:shd w:val="clear" w:color="auto" w:fill="auto"/>
            <w:vAlign w:val="center"/>
          </w:tcPr>
          <w:p w14:paraId="72F8E459" w14:textId="77777777" w:rsidR="00160D9D" w:rsidRPr="00160D9D" w:rsidRDefault="00160D9D" w:rsidP="00160D9D">
            <w:pPr>
              <w:keepNext/>
              <w:keepLines/>
              <w:jc w:val="center"/>
              <w:rPr>
                <w:b/>
                <w:lang w:val="ru-RU" w:eastAsia="ru-RU"/>
              </w:rPr>
            </w:pPr>
            <w:r w:rsidRPr="00160D9D">
              <w:rPr>
                <w:b/>
                <w:lang w:bidi="en-US"/>
              </w:rPr>
              <w:t>p value</w:t>
            </w:r>
          </w:p>
        </w:tc>
      </w:tr>
      <w:tr w:rsidR="00160D9D" w:rsidRPr="00160D9D" w14:paraId="4E547704" w14:textId="77777777" w:rsidTr="006D3539">
        <w:trPr>
          <w:trHeight w:val="616"/>
          <w:tblHeader/>
        </w:trPr>
        <w:tc>
          <w:tcPr>
            <w:tcW w:w="3148" w:type="dxa"/>
            <w:vMerge/>
          </w:tcPr>
          <w:p w14:paraId="7B9D9950" w14:textId="77777777" w:rsidR="00160D9D" w:rsidRPr="00160D9D" w:rsidRDefault="00160D9D" w:rsidP="00160D9D">
            <w:pPr>
              <w:keepNext/>
              <w:keepLines/>
              <w:jc w:val="center"/>
              <w:rPr>
                <w:b/>
                <w:lang w:val="ru-RU" w:eastAsia="ru-RU"/>
              </w:rPr>
            </w:pPr>
          </w:p>
        </w:tc>
        <w:tc>
          <w:tcPr>
            <w:tcW w:w="902" w:type="dxa"/>
            <w:vAlign w:val="center"/>
          </w:tcPr>
          <w:p w14:paraId="680F8AB2" w14:textId="77777777" w:rsidR="00160D9D" w:rsidRPr="00160D9D" w:rsidRDefault="00160D9D" w:rsidP="00160D9D">
            <w:pPr>
              <w:keepNext/>
              <w:keepLines/>
              <w:jc w:val="center"/>
              <w:rPr>
                <w:b/>
                <w:lang w:val="ru-RU" w:eastAsia="ru-RU"/>
              </w:rPr>
            </w:pPr>
            <w:r w:rsidRPr="00160D9D">
              <w:rPr>
                <w:b/>
                <w:lang w:bidi="en-US"/>
              </w:rPr>
              <w:t>Total</w:t>
            </w:r>
          </w:p>
        </w:tc>
        <w:tc>
          <w:tcPr>
            <w:tcW w:w="1170" w:type="dxa"/>
            <w:shd w:val="clear" w:color="auto" w:fill="auto"/>
            <w:vAlign w:val="center"/>
          </w:tcPr>
          <w:p w14:paraId="3748B996" w14:textId="77777777" w:rsidR="00160D9D" w:rsidRPr="00160D9D" w:rsidRDefault="00160D9D" w:rsidP="00160D9D">
            <w:pPr>
              <w:keepNext/>
              <w:keepLines/>
              <w:ind w:left="-108" w:right="-108"/>
              <w:jc w:val="center"/>
              <w:rPr>
                <w:b/>
                <w:lang w:val="ru-RU" w:eastAsia="ru-RU"/>
              </w:rPr>
            </w:pPr>
            <w:r w:rsidRPr="00160D9D">
              <w:rPr>
                <w:b/>
                <w:lang w:bidi="en-US"/>
              </w:rPr>
              <w:t>Prevenar</w:t>
            </w:r>
            <w:r w:rsidRPr="00160D9D">
              <w:rPr>
                <w:b/>
                <w:vertAlign w:val="superscript"/>
                <w:lang w:bidi="en-US"/>
              </w:rPr>
              <w:t>®</w:t>
            </w:r>
            <w:r w:rsidRPr="00160D9D">
              <w:rPr>
                <w:b/>
                <w:lang w:bidi="en-US"/>
              </w:rPr>
              <w:t xml:space="preserve"> 13 group</w:t>
            </w:r>
          </w:p>
        </w:tc>
        <w:tc>
          <w:tcPr>
            <w:tcW w:w="1170" w:type="dxa"/>
            <w:shd w:val="clear" w:color="auto" w:fill="auto"/>
            <w:vAlign w:val="center"/>
          </w:tcPr>
          <w:p w14:paraId="7C04910C" w14:textId="77777777" w:rsidR="00160D9D" w:rsidRPr="00160D9D" w:rsidRDefault="00160D9D" w:rsidP="00160D9D">
            <w:pPr>
              <w:keepNext/>
              <w:keepLines/>
              <w:jc w:val="center"/>
              <w:rPr>
                <w:b/>
                <w:lang w:val="ru-RU" w:eastAsia="ru-RU"/>
              </w:rPr>
            </w:pPr>
            <w:r w:rsidRPr="00160D9D">
              <w:rPr>
                <w:b/>
                <w:lang w:bidi="en-US"/>
              </w:rPr>
              <w:t>Placebo group</w:t>
            </w:r>
          </w:p>
        </w:tc>
        <w:tc>
          <w:tcPr>
            <w:tcW w:w="1440" w:type="dxa"/>
            <w:vMerge/>
            <w:shd w:val="clear" w:color="auto" w:fill="auto"/>
          </w:tcPr>
          <w:p w14:paraId="563D663B" w14:textId="77777777" w:rsidR="00160D9D" w:rsidRPr="00160D9D" w:rsidRDefault="00160D9D" w:rsidP="00160D9D">
            <w:pPr>
              <w:keepNext/>
              <w:keepLines/>
              <w:jc w:val="center"/>
              <w:rPr>
                <w:b/>
                <w:lang w:val="ru-RU" w:eastAsia="ru-RU"/>
              </w:rPr>
            </w:pPr>
          </w:p>
        </w:tc>
        <w:tc>
          <w:tcPr>
            <w:tcW w:w="1080" w:type="dxa"/>
            <w:vMerge/>
            <w:shd w:val="clear" w:color="auto" w:fill="auto"/>
          </w:tcPr>
          <w:p w14:paraId="0C87BC6E" w14:textId="77777777" w:rsidR="00160D9D" w:rsidRPr="00160D9D" w:rsidRDefault="00160D9D" w:rsidP="00160D9D">
            <w:pPr>
              <w:keepNext/>
              <w:keepLines/>
              <w:jc w:val="center"/>
              <w:rPr>
                <w:b/>
                <w:lang w:val="ru-RU" w:eastAsia="ru-RU"/>
              </w:rPr>
            </w:pPr>
          </w:p>
        </w:tc>
      </w:tr>
      <w:tr w:rsidR="00160D9D" w:rsidRPr="00160D9D" w14:paraId="13A0C044" w14:textId="77777777" w:rsidTr="006D3539">
        <w:trPr>
          <w:trHeight w:val="310"/>
        </w:trPr>
        <w:tc>
          <w:tcPr>
            <w:tcW w:w="8910" w:type="dxa"/>
            <w:gridSpan w:val="6"/>
          </w:tcPr>
          <w:p w14:paraId="1966B0FE" w14:textId="77777777" w:rsidR="00160D9D" w:rsidRPr="00160D9D" w:rsidRDefault="00160D9D" w:rsidP="00160D9D">
            <w:pPr>
              <w:spacing w:line="276" w:lineRule="auto"/>
              <w:rPr>
                <w:i/>
                <w:lang w:val="ru-RU" w:eastAsia="ru-RU"/>
              </w:rPr>
            </w:pPr>
            <w:r w:rsidRPr="00160D9D">
              <w:rPr>
                <w:i/>
                <w:lang w:bidi="en-US"/>
              </w:rPr>
              <w:t>Primary endpoint</w:t>
            </w:r>
          </w:p>
        </w:tc>
      </w:tr>
      <w:tr w:rsidR="00160D9D" w:rsidRPr="00160D9D" w14:paraId="6E66224D" w14:textId="77777777" w:rsidTr="006D3539">
        <w:trPr>
          <w:trHeight w:val="760"/>
        </w:trPr>
        <w:tc>
          <w:tcPr>
            <w:tcW w:w="3148" w:type="dxa"/>
            <w:vAlign w:val="center"/>
          </w:tcPr>
          <w:p w14:paraId="18FCA8D4" w14:textId="77777777" w:rsidR="00160D9D" w:rsidRPr="00911C75" w:rsidRDefault="00160D9D" w:rsidP="00160D9D">
            <w:pPr>
              <w:keepNext/>
              <w:keepLines/>
              <w:rPr>
                <w:b/>
                <w:lang w:eastAsia="ru-RU"/>
              </w:rPr>
            </w:pPr>
            <w:r w:rsidRPr="00160D9D">
              <w:rPr>
                <w:lang w:bidi="en-US"/>
              </w:rPr>
              <w:t xml:space="preserve">First episode of CAPiTA VSS </w:t>
            </w:r>
          </w:p>
        </w:tc>
        <w:tc>
          <w:tcPr>
            <w:tcW w:w="902" w:type="dxa"/>
            <w:vAlign w:val="center"/>
          </w:tcPr>
          <w:p w14:paraId="2FE5825E" w14:textId="77777777" w:rsidR="00160D9D" w:rsidRPr="00160D9D" w:rsidRDefault="00160D9D" w:rsidP="00160D9D">
            <w:pPr>
              <w:spacing w:line="276" w:lineRule="auto"/>
              <w:jc w:val="center"/>
              <w:rPr>
                <w:lang w:val="ru-RU" w:eastAsia="ru-RU"/>
              </w:rPr>
            </w:pPr>
            <w:r w:rsidRPr="00160D9D">
              <w:rPr>
                <w:lang w:bidi="en-US"/>
              </w:rPr>
              <w:t>139</w:t>
            </w:r>
          </w:p>
        </w:tc>
        <w:tc>
          <w:tcPr>
            <w:tcW w:w="1170" w:type="dxa"/>
            <w:shd w:val="clear" w:color="auto" w:fill="auto"/>
            <w:vAlign w:val="center"/>
          </w:tcPr>
          <w:p w14:paraId="12C71037" w14:textId="77777777" w:rsidR="00160D9D" w:rsidRPr="00160D9D" w:rsidRDefault="00160D9D" w:rsidP="00160D9D">
            <w:pPr>
              <w:spacing w:line="276" w:lineRule="auto"/>
              <w:jc w:val="center"/>
              <w:rPr>
                <w:lang w:val="ru-RU" w:eastAsia="ru-RU"/>
              </w:rPr>
            </w:pPr>
            <w:r w:rsidRPr="00160D9D">
              <w:rPr>
                <w:lang w:bidi="en-US"/>
              </w:rPr>
              <w:t>49</w:t>
            </w:r>
          </w:p>
        </w:tc>
        <w:tc>
          <w:tcPr>
            <w:tcW w:w="1170" w:type="dxa"/>
            <w:shd w:val="clear" w:color="auto" w:fill="auto"/>
            <w:vAlign w:val="center"/>
          </w:tcPr>
          <w:p w14:paraId="79C5CD11" w14:textId="77777777" w:rsidR="00160D9D" w:rsidRPr="00160D9D" w:rsidRDefault="00160D9D" w:rsidP="00160D9D">
            <w:pPr>
              <w:spacing w:line="276" w:lineRule="auto"/>
              <w:jc w:val="center"/>
              <w:rPr>
                <w:lang w:val="ru-RU" w:eastAsia="ru-RU"/>
              </w:rPr>
            </w:pPr>
            <w:r w:rsidRPr="00160D9D">
              <w:rPr>
                <w:lang w:bidi="en-US"/>
              </w:rPr>
              <w:t>90</w:t>
            </w:r>
          </w:p>
        </w:tc>
        <w:tc>
          <w:tcPr>
            <w:tcW w:w="1440" w:type="dxa"/>
            <w:shd w:val="clear" w:color="auto" w:fill="auto"/>
            <w:vAlign w:val="center"/>
          </w:tcPr>
          <w:p w14:paraId="34590322" w14:textId="77777777" w:rsidR="00160D9D" w:rsidRPr="00160D9D" w:rsidRDefault="00160D9D" w:rsidP="00160D9D">
            <w:pPr>
              <w:keepNext/>
              <w:keepLines/>
              <w:jc w:val="center"/>
              <w:rPr>
                <w:lang w:val="ru-RU" w:eastAsia="ru-RU"/>
              </w:rPr>
            </w:pPr>
            <w:r w:rsidRPr="00160D9D">
              <w:rPr>
                <w:lang w:bidi="en-US"/>
              </w:rPr>
              <w:t>45.56</w:t>
            </w:r>
          </w:p>
          <w:p w14:paraId="55D9EFDD" w14:textId="77777777" w:rsidR="00160D9D" w:rsidRPr="00160D9D" w:rsidRDefault="00160D9D" w:rsidP="00160D9D">
            <w:pPr>
              <w:keepNext/>
              <w:keepLines/>
              <w:jc w:val="center"/>
              <w:rPr>
                <w:lang w:val="ru-RU" w:eastAsia="ru-RU"/>
              </w:rPr>
            </w:pPr>
            <w:r w:rsidRPr="00160D9D">
              <w:rPr>
                <w:lang w:bidi="en-US"/>
              </w:rPr>
              <w:t>(21.82; 62.49)</w:t>
            </w:r>
          </w:p>
        </w:tc>
        <w:tc>
          <w:tcPr>
            <w:tcW w:w="1080" w:type="dxa"/>
            <w:shd w:val="clear" w:color="auto" w:fill="auto"/>
            <w:vAlign w:val="center"/>
          </w:tcPr>
          <w:p w14:paraId="24D3DA30" w14:textId="77777777" w:rsidR="00160D9D" w:rsidRPr="00160D9D" w:rsidRDefault="00160D9D" w:rsidP="00160D9D">
            <w:pPr>
              <w:spacing w:line="276" w:lineRule="auto"/>
              <w:jc w:val="center"/>
              <w:rPr>
                <w:lang w:val="ru-RU" w:eastAsia="ru-RU"/>
              </w:rPr>
            </w:pPr>
            <w:r w:rsidRPr="00160D9D">
              <w:rPr>
                <w:lang w:bidi="en-US"/>
              </w:rPr>
              <w:t>0.0006</w:t>
            </w:r>
          </w:p>
        </w:tc>
      </w:tr>
      <w:tr w:rsidR="00160D9D" w:rsidRPr="00160D9D" w14:paraId="074C2C23" w14:textId="77777777" w:rsidTr="006D3539">
        <w:trPr>
          <w:trHeight w:val="301"/>
        </w:trPr>
        <w:tc>
          <w:tcPr>
            <w:tcW w:w="8910" w:type="dxa"/>
            <w:gridSpan w:val="6"/>
            <w:vAlign w:val="center"/>
          </w:tcPr>
          <w:p w14:paraId="5F3ECD05" w14:textId="77777777" w:rsidR="00160D9D" w:rsidRPr="00160D9D" w:rsidRDefault="00160D9D" w:rsidP="00160D9D">
            <w:pPr>
              <w:spacing w:line="276" w:lineRule="auto"/>
              <w:rPr>
                <w:i/>
                <w:lang w:val="ru-RU" w:eastAsia="ru-RU"/>
              </w:rPr>
            </w:pPr>
            <w:r w:rsidRPr="00160D9D">
              <w:rPr>
                <w:i/>
                <w:lang w:bidi="en-US"/>
              </w:rPr>
              <w:t>Secondary Endpoints</w:t>
            </w:r>
          </w:p>
        </w:tc>
      </w:tr>
      <w:tr w:rsidR="00160D9D" w:rsidRPr="00160D9D" w14:paraId="646C5336" w14:textId="77777777" w:rsidTr="006D3539">
        <w:trPr>
          <w:trHeight w:val="616"/>
        </w:trPr>
        <w:tc>
          <w:tcPr>
            <w:tcW w:w="3148" w:type="dxa"/>
            <w:vAlign w:val="center"/>
          </w:tcPr>
          <w:p w14:paraId="1045DCBC" w14:textId="77777777" w:rsidR="00160D9D" w:rsidRPr="00911C75" w:rsidRDefault="00160D9D" w:rsidP="00160D9D">
            <w:pPr>
              <w:keepNext/>
              <w:keepLines/>
              <w:rPr>
                <w:b/>
                <w:lang w:eastAsia="ru-RU"/>
              </w:rPr>
            </w:pPr>
            <w:r w:rsidRPr="00160D9D">
              <w:rPr>
                <w:b/>
                <w:lang w:bidi="en-US"/>
              </w:rPr>
              <w:t xml:space="preserve">First episode of confirmed non-invasive CAPiTA VSS </w:t>
            </w:r>
          </w:p>
        </w:tc>
        <w:tc>
          <w:tcPr>
            <w:tcW w:w="902" w:type="dxa"/>
            <w:vAlign w:val="center"/>
          </w:tcPr>
          <w:p w14:paraId="6331DD9B" w14:textId="77777777" w:rsidR="00160D9D" w:rsidRPr="00160D9D" w:rsidRDefault="00160D9D" w:rsidP="00160D9D">
            <w:pPr>
              <w:spacing w:line="276" w:lineRule="auto"/>
              <w:jc w:val="center"/>
              <w:rPr>
                <w:lang w:val="ru-RU" w:eastAsia="ru-RU"/>
              </w:rPr>
            </w:pPr>
            <w:r w:rsidRPr="00160D9D">
              <w:rPr>
                <w:lang w:bidi="en-US"/>
              </w:rPr>
              <w:t>93</w:t>
            </w:r>
          </w:p>
        </w:tc>
        <w:tc>
          <w:tcPr>
            <w:tcW w:w="1170" w:type="dxa"/>
            <w:shd w:val="clear" w:color="auto" w:fill="auto"/>
            <w:vAlign w:val="center"/>
          </w:tcPr>
          <w:p w14:paraId="0B0F5DD3" w14:textId="77777777" w:rsidR="00160D9D" w:rsidRPr="00160D9D" w:rsidRDefault="00160D9D" w:rsidP="00160D9D">
            <w:pPr>
              <w:spacing w:line="276" w:lineRule="auto"/>
              <w:jc w:val="center"/>
              <w:rPr>
                <w:lang w:val="ru-RU" w:eastAsia="ru-RU"/>
              </w:rPr>
            </w:pPr>
            <w:r w:rsidRPr="00160D9D">
              <w:rPr>
                <w:lang w:bidi="en-US"/>
              </w:rPr>
              <w:t>33</w:t>
            </w:r>
          </w:p>
        </w:tc>
        <w:tc>
          <w:tcPr>
            <w:tcW w:w="1170" w:type="dxa"/>
            <w:shd w:val="clear" w:color="auto" w:fill="auto"/>
            <w:vAlign w:val="center"/>
          </w:tcPr>
          <w:p w14:paraId="678F2B4F" w14:textId="77777777" w:rsidR="00160D9D" w:rsidRPr="00160D9D" w:rsidRDefault="00160D9D" w:rsidP="00160D9D">
            <w:pPr>
              <w:spacing w:line="276" w:lineRule="auto"/>
              <w:jc w:val="center"/>
              <w:rPr>
                <w:lang w:val="ru-RU" w:eastAsia="ru-RU"/>
              </w:rPr>
            </w:pPr>
            <w:r w:rsidRPr="00160D9D">
              <w:rPr>
                <w:lang w:bidi="en-US"/>
              </w:rPr>
              <w:t>60</w:t>
            </w:r>
          </w:p>
        </w:tc>
        <w:tc>
          <w:tcPr>
            <w:tcW w:w="1440" w:type="dxa"/>
            <w:shd w:val="clear" w:color="auto" w:fill="auto"/>
            <w:vAlign w:val="center"/>
          </w:tcPr>
          <w:p w14:paraId="7A7D76B9" w14:textId="77777777" w:rsidR="00160D9D" w:rsidRPr="00160D9D" w:rsidRDefault="00160D9D" w:rsidP="00160D9D">
            <w:pPr>
              <w:keepNext/>
              <w:keepLines/>
              <w:jc w:val="center"/>
              <w:rPr>
                <w:lang w:val="ru-RU" w:eastAsia="ru-RU"/>
              </w:rPr>
            </w:pPr>
            <w:r w:rsidRPr="00160D9D">
              <w:rPr>
                <w:lang w:bidi="en-US"/>
              </w:rPr>
              <w:t>45.00</w:t>
            </w:r>
          </w:p>
          <w:p w14:paraId="3A408F2B" w14:textId="77777777" w:rsidR="00160D9D" w:rsidRPr="00160D9D" w:rsidRDefault="00160D9D" w:rsidP="00160D9D">
            <w:pPr>
              <w:keepNext/>
              <w:keepLines/>
              <w:jc w:val="center"/>
              <w:rPr>
                <w:lang w:val="ru-RU" w:eastAsia="ru-RU"/>
              </w:rPr>
            </w:pPr>
            <w:r w:rsidRPr="00160D9D">
              <w:rPr>
                <w:lang w:bidi="en-US"/>
              </w:rPr>
              <w:t>(14.21; 65.31)</w:t>
            </w:r>
          </w:p>
        </w:tc>
        <w:tc>
          <w:tcPr>
            <w:tcW w:w="1080" w:type="dxa"/>
            <w:shd w:val="clear" w:color="auto" w:fill="auto"/>
            <w:vAlign w:val="center"/>
          </w:tcPr>
          <w:p w14:paraId="59C1371E" w14:textId="77777777" w:rsidR="00160D9D" w:rsidRPr="00160D9D" w:rsidRDefault="00160D9D" w:rsidP="00160D9D">
            <w:pPr>
              <w:spacing w:line="276" w:lineRule="auto"/>
              <w:jc w:val="center"/>
              <w:rPr>
                <w:lang w:val="ru-RU" w:eastAsia="ru-RU"/>
              </w:rPr>
            </w:pPr>
            <w:r w:rsidRPr="00160D9D">
              <w:rPr>
                <w:lang w:bidi="en-US"/>
              </w:rPr>
              <w:t>0.0067</w:t>
            </w:r>
          </w:p>
        </w:tc>
      </w:tr>
      <w:tr w:rsidR="00160D9D" w:rsidRPr="00160D9D" w14:paraId="51FD9DB4" w14:textId="77777777" w:rsidTr="006D3539">
        <w:trPr>
          <w:trHeight w:val="535"/>
        </w:trPr>
        <w:tc>
          <w:tcPr>
            <w:tcW w:w="3148" w:type="dxa"/>
            <w:vAlign w:val="center"/>
          </w:tcPr>
          <w:p w14:paraId="2AC12C3D" w14:textId="77777777" w:rsidR="00160D9D" w:rsidRPr="00911C75" w:rsidRDefault="00160D9D" w:rsidP="00160D9D">
            <w:pPr>
              <w:keepNext/>
              <w:keepLines/>
              <w:rPr>
                <w:b/>
                <w:lang w:eastAsia="ru-RU"/>
              </w:rPr>
            </w:pPr>
            <w:r w:rsidRPr="00160D9D">
              <w:rPr>
                <w:b/>
                <w:lang w:bidi="en-US"/>
              </w:rPr>
              <w:t>First episode of IPI VSS</w:t>
            </w:r>
            <w:r w:rsidRPr="00160D9D">
              <w:rPr>
                <w:b/>
                <w:vertAlign w:val="superscript"/>
                <w:lang w:bidi="en-US"/>
              </w:rPr>
              <w:t>1</w:t>
            </w:r>
          </w:p>
        </w:tc>
        <w:tc>
          <w:tcPr>
            <w:tcW w:w="902" w:type="dxa"/>
            <w:vAlign w:val="center"/>
          </w:tcPr>
          <w:p w14:paraId="4FCAF008" w14:textId="77777777" w:rsidR="00160D9D" w:rsidRPr="00160D9D" w:rsidRDefault="00160D9D" w:rsidP="00160D9D">
            <w:pPr>
              <w:spacing w:line="276" w:lineRule="auto"/>
              <w:jc w:val="center"/>
              <w:rPr>
                <w:lang w:val="ru-RU" w:eastAsia="ru-RU"/>
              </w:rPr>
            </w:pPr>
            <w:r w:rsidRPr="00160D9D">
              <w:rPr>
                <w:lang w:bidi="en-US"/>
              </w:rPr>
              <w:t>35</w:t>
            </w:r>
          </w:p>
        </w:tc>
        <w:tc>
          <w:tcPr>
            <w:tcW w:w="1170" w:type="dxa"/>
            <w:shd w:val="clear" w:color="auto" w:fill="auto"/>
            <w:vAlign w:val="center"/>
          </w:tcPr>
          <w:p w14:paraId="376754DF" w14:textId="77777777" w:rsidR="00160D9D" w:rsidRPr="00160D9D" w:rsidRDefault="00160D9D" w:rsidP="00160D9D">
            <w:pPr>
              <w:spacing w:line="276" w:lineRule="auto"/>
              <w:jc w:val="center"/>
              <w:rPr>
                <w:lang w:val="ru-RU" w:eastAsia="ru-RU"/>
              </w:rPr>
            </w:pPr>
            <w:r w:rsidRPr="00160D9D">
              <w:rPr>
                <w:lang w:bidi="en-US"/>
              </w:rPr>
              <w:t>7</w:t>
            </w:r>
          </w:p>
        </w:tc>
        <w:tc>
          <w:tcPr>
            <w:tcW w:w="1170" w:type="dxa"/>
            <w:shd w:val="clear" w:color="auto" w:fill="auto"/>
            <w:vAlign w:val="center"/>
          </w:tcPr>
          <w:p w14:paraId="122FD36B" w14:textId="77777777" w:rsidR="00160D9D" w:rsidRPr="00160D9D" w:rsidRDefault="00160D9D" w:rsidP="00160D9D">
            <w:pPr>
              <w:spacing w:line="276" w:lineRule="auto"/>
              <w:jc w:val="center"/>
              <w:rPr>
                <w:lang w:val="ru-RU" w:eastAsia="ru-RU"/>
              </w:rPr>
            </w:pPr>
            <w:r w:rsidRPr="00160D9D">
              <w:rPr>
                <w:lang w:bidi="en-US"/>
              </w:rPr>
              <w:t>28</w:t>
            </w:r>
          </w:p>
        </w:tc>
        <w:tc>
          <w:tcPr>
            <w:tcW w:w="1440" w:type="dxa"/>
            <w:shd w:val="clear" w:color="auto" w:fill="auto"/>
            <w:vAlign w:val="center"/>
          </w:tcPr>
          <w:p w14:paraId="4FCE72A2" w14:textId="77777777" w:rsidR="00160D9D" w:rsidRPr="00160D9D" w:rsidRDefault="00160D9D" w:rsidP="00160D9D">
            <w:pPr>
              <w:keepNext/>
              <w:keepLines/>
              <w:jc w:val="center"/>
              <w:rPr>
                <w:lang w:val="ru-RU" w:eastAsia="ru-RU"/>
              </w:rPr>
            </w:pPr>
            <w:r w:rsidRPr="00160D9D">
              <w:rPr>
                <w:lang w:bidi="en-US"/>
              </w:rPr>
              <w:t>75.00</w:t>
            </w:r>
          </w:p>
          <w:p w14:paraId="3E10849F" w14:textId="77777777" w:rsidR="00160D9D" w:rsidRPr="00160D9D" w:rsidRDefault="00160D9D" w:rsidP="00160D9D">
            <w:pPr>
              <w:keepNext/>
              <w:keepLines/>
              <w:jc w:val="center"/>
              <w:rPr>
                <w:lang w:val="ru-RU" w:eastAsia="ru-RU"/>
              </w:rPr>
            </w:pPr>
            <w:r w:rsidRPr="00160D9D">
              <w:rPr>
                <w:lang w:bidi="en-US"/>
              </w:rPr>
              <w:t>(41.06; 90.87)</w:t>
            </w:r>
          </w:p>
        </w:tc>
        <w:tc>
          <w:tcPr>
            <w:tcW w:w="1080" w:type="dxa"/>
            <w:shd w:val="clear" w:color="auto" w:fill="auto"/>
            <w:vAlign w:val="center"/>
          </w:tcPr>
          <w:p w14:paraId="1ABCA473" w14:textId="77777777" w:rsidR="00160D9D" w:rsidRPr="00160D9D" w:rsidRDefault="00160D9D" w:rsidP="00160D9D">
            <w:pPr>
              <w:spacing w:line="276" w:lineRule="auto"/>
              <w:jc w:val="center"/>
              <w:rPr>
                <w:lang w:val="ru-RU" w:eastAsia="ru-RU"/>
              </w:rPr>
            </w:pPr>
            <w:r w:rsidRPr="00160D9D">
              <w:rPr>
                <w:lang w:bidi="en-US"/>
              </w:rPr>
              <w:t>0.0005</w:t>
            </w:r>
          </w:p>
        </w:tc>
      </w:tr>
      <w:tr w:rsidR="00160D9D" w:rsidRPr="007B49C0" w14:paraId="215E9B51" w14:textId="77777777" w:rsidTr="006D3539">
        <w:trPr>
          <w:trHeight w:val="364"/>
        </w:trPr>
        <w:tc>
          <w:tcPr>
            <w:tcW w:w="8910" w:type="dxa"/>
            <w:gridSpan w:val="6"/>
          </w:tcPr>
          <w:p w14:paraId="0997D8A3" w14:textId="77777777" w:rsidR="00160D9D" w:rsidRPr="00911C75" w:rsidRDefault="00160D9D" w:rsidP="00160D9D">
            <w:pPr>
              <w:spacing w:line="276" w:lineRule="auto"/>
              <w:rPr>
                <w:lang w:eastAsia="ru-RU"/>
              </w:rPr>
            </w:pPr>
            <w:r w:rsidRPr="00160D9D">
              <w:rPr>
                <w:vertAlign w:val="superscript"/>
                <w:lang w:bidi="en-US"/>
              </w:rPr>
              <w:t xml:space="preserve">1 </w:t>
            </w:r>
            <w:r w:rsidRPr="00160D9D">
              <w:rPr>
                <w:b/>
                <w:lang w:bidi="en-US"/>
              </w:rPr>
              <w:t xml:space="preserve">IPI VSS </w:t>
            </w:r>
            <w:r w:rsidRPr="00160D9D">
              <w:rPr>
                <w:lang w:bidi="en-US"/>
              </w:rPr>
              <w:t>— Invasive pneumococcal infection caused by a vaccine-specific serotype</w:t>
            </w:r>
          </w:p>
        </w:tc>
      </w:tr>
    </w:tbl>
    <w:p w14:paraId="45792B72" w14:textId="77777777" w:rsidR="00160D9D" w:rsidRPr="00911C75" w:rsidRDefault="00160D9D" w:rsidP="00160D9D">
      <w:pPr>
        <w:spacing w:line="360" w:lineRule="auto"/>
        <w:jc w:val="both"/>
        <w:rPr>
          <w:iCs/>
          <w:szCs w:val="20"/>
          <w:lang w:eastAsia="ru-RU"/>
        </w:rPr>
      </w:pPr>
      <w:r w:rsidRPr="00160D9D">
        <w:rPr>
          <w:lang w:bidi="en-US"/>
        </w:rPr>
        <w:t>The protective efficacy of Prevenar</w:t>
      </w:r>
      <w:r w:rsidRPr="00160D9D">
        <w:rPr>
          <w:vertAlign w:val="superscript"/>
          <w:lang w:bidi="en-US"/>
        </w:rPr>
        <w:t>®</w:t>
      </w:r>
      <w:r w:rsidRPr="00160D9D">
        <w:rPr>
          <w:lang w:bidi="en-US"/>
        </w:rPr>
        <w:t xml:space="preserve"> 13 against the first episodes of CAPiTA VSS, non-invasive CAPiTA VSS and IPI VSS became apparent shortly after vaccination and persisted throughout the study.</w:t>
      </w:r>
    </w:p>
    <w:p w14:paraId="54849705" w14:textId="77777777" w:rsidR="00160D9D" w:rsidRPr="00911C75" w:rsidRDefault="00160D9D" w:rsidP="00160D9D">
      <w:pPr>
        <w:spacing w:line="360" w:lineRule="auto"/>
        <w:jc w:val="both"/>
        <w:rPr>
          <w:bCs/>
        </w:rPr>
      </w:pPr>
      <w:r w:rsidRPr="00160D9D">
        <w:rPr>
          <w:lang w:bidi="en-US"/>
        </w:rPr>
        <w:t>In order to assess the impact on public health, a retrospective analysis of the vaccine’s efficacy against clinical cases of community-acquired pneumonia (CAP) diagnosed according to case determination in the CAPiTA study and on the basis of clinical criteria (regardless of the presence of infiltrate on radiograms or etiological confirmation of disease) has been conducted to show reduced CAP incidence and a fewer number of people who need to be vaccinated to prevent one clinical case (see Table 2).</w:t>
      </w:r>
    </w:p>
    <w:tbl>
      <w:tblPr>
        <w:tblW w:w="5000" w:type="pct"/>
        <w:tblInd w:w="18" w:type="dxa"/>
        <w:tblLayout w:type="fixed"/>
        <w:tblCellMar>
          <w:left w:w="0" w:type="dxa"/>
          <w:right w:w="0" w:type="dxa"/>
        </w:tblCellMar>
        <w:tblLook w:val="04A0" w:firstRow="1" w:lastRow="0" w:firstColumn="1" w:lastColumn="0" w:noHBand="0" w:noVBand="1"/>
      </w:tblPr>
      <w:tblGrid>
        <w:gridCol w:w="3133"/>
        <w:gridCol w:w="2286"/>
        <w:gridCol w:w="2386"/>
        <w:gridCol w:w="1766"/>
      </w:tblGrid>
      <w:tr w:rsidR="00160D9D" w:rsidRPr="007B49C0" w14:paraId="595A72BE" w14:textId="77777777" w:rsidTr="006D3539">
        <w:trPr>
          <w:trHeight w:val="336"/>
        </w:trPr>
        <w:tc>
          <w:tcPr>
            <w:tcW w:w="9000" w:type="dxa"/>
            <w:gridSpan w:val="4"/>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7DA27627" w14:textId="77777777" w:rsidR="00160D9D" w:rsidRPr="00911C75" w:rsidRDefault="00160D9D" w:rsidP="00160D9D">
            <w:pPr>
              <w:keepNext/>
              <w:keepLines/>
              <w:ind w:left="1063" w:hanging="1063"/>
              <w:rPr>
                <w:b/>
                <w:lang w:eastAsia="ru-RU"/>
              </w:rPr>
            </w:pPr>
            <w:r w:rsidRPr="00160D9D">
              <w:rPr>
                <w:b/>
                <w:lang w:bidi="en-US"/>
              </w:rPr>
              <w:lastRenderedPageBreak/>
              <w:t>Table 2. Public health impact for CAP clinical cases*</w:t>
            </w:r>
          </w:p>
          <w:p w14:paraId="5C9BA01D" w14:textId="77777777" w:rsidR="00160D9D" w:rsidRPr="00911C75" w:rsidRDefault="00160D9D" w:rsidP="00160D9D">
            <w:pPr>
              <w:keepNext/>
              <w:keepLines/>
              <w:ind w:left="1063" w:hanging="1063"/>
              <w:rPr>
                <w:b/>
                <w:lang w:eastAsia="ru-RU"/>
              </w:rPr>
            </w:pPr>
            <w:r w:rsidRPr="00160D9D">
              <w:rPr>
                <w:b/>
                <w:lang w:bidi="en-US"/>
              </w:rPr>
              <w:t>(a modified sample of patients who received prescribed treatment)</w:t>
            </w:r>
          </w:p>
        </w:tc>
      </w:tr>
      <w:tr w:rsidR="00160D9D" w:rsidRPr="00160D9D" w14:paraId="4AC3A68C" w14:textId="77777777" w:rsidTr="006D3539">
        <w:trPr>
          <w:trHeight w:val="560"/>
        </w:trPr>
        <w:tc>
          <w:tcPr>
            <w:tcW w:w="2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0C6AD" w14:textId="77777777" w:rsidR="00160D9D" w:rsidRPr="00911C75" w:rsidRDefault="00160D9D" w:rsidP="00160D9D">
            <w:pPr>
              <w:keepNext/>
              <w:ind w:left="91"/>
              <w:jc w:val="center"/>
              <w:rPr>
                <w:rFonts w:eastAsia="Calibri"/>
                <w:b/>
                <w:bCs/>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902CB05" w14:textId="77777777" w:rsidR="00160D9D" w:rsidRPr="00160D9D" w:rsidRDefault="00160D9D" w:rsidP="00160D9D">
            <w:pPr>
              <w:keepNext/>
              <w:keepLines/>
              <w:jc w:val="center"/>
              <w:rPr>
                <w:b/>
                <w:lang w:val="ru-RU" w:eastAsia="ru-RU"/>
              </w:rPr>
            </w:pPr>
            <w:r w:rsidRPr="00160D9D">
              <w:rPr>
                <w:b/>
                <w:lang w:bidi="en-US"/>
              </w:rPr>
              <w:t>Vaccine efficacy</w:t>
            </w:r>
          </w:p>
          <w:p w14:paraId="1B332F26" w14:textId="77777777" w:rsidR="00160D9D" w:rsidRPr="00160D9D" w:rsidRDefault="00160D9D" w:rsidP="00160D9D">
            <w:pPr>
              <w:keepNext/>
              <w:keepLines/>
              <w:ind w:left="91"/>
              <w:jc w:val="center"/>
              <w:rPr>
                <w:b/>
                <w:lang w:val="ru-RU" w:eastAsia="ru-RU"/>
              </w:rPr>
            </w:pPr>
            <w:r w:rsidRPr="00160D9D">
              <w:rPr>
                <w:b/>
                <w:lang w:bidi="en-US"/>
              </w:rPr>
              <w:t>% (95% CI)</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A47E5A" w14:textId="77777777" w:rsidR="00160D9D" w:rsidRPr="00160D9D" w:rsidRDefault="00160D9D" w:rsidP="00160D9D">
            <w:pPr>
              <w:keepNext/>
              <w:keepLines/>
              <w:ind w:left="91"/>
              <w:jc w:val="center"/>
              <w:rPr>
                <w:b/>
                <w:lang w:val="ru-RU" w:eastAsia="ru-RU"/>
              </w:rPr>
            </w:pPr>
            <w:r w:rsidRPr="00160D9D">
              <w:rPr>
                <w:b/>
                <w:lang w:bidi="en-US"/>
              </w:rPr>
              <w:t>CAP</w:t>
            </w:r>
            <w:r w:rsidRPr="00160D9D">
              <w:rPr>
                <w:b/>
                <w:vertAlign w:val="superscript"/>
                <w:lang w:bidi="en-US"/>
              </w:rPr>
              <w:t>1</w:t>
            </w:r>
            <w:r w:rsidRPr="00160D9D">
              <w:rPr>
                <w:b/>
                <w:lang w:bidi="en-US"/>
              </w:rPr>
              <w:t xml:space="preserve"> incidence reduction (95% CI)</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6290095A" w14:textId="77777777" w:rsidR="00160D9D" w:rsidRPr="00911C75" w:rsidRDefault="00160D9D" w:rsidP="00160D9D">
            <w:pPr>
              <w:keepNext/>
              <w:keepLines/>
              <w:ind w:left="91"/>
              <w:jc w:val="center"/>
              <w:rPr>
                <w:b/>
                <w:lang w:eastAsia="ru-RU"/>
              </w:rPr>
            </w:pPr>
            <w:r w:rsidRPr="00160D9D">
              <w:rPr>
                <w:b/>
                <w:lang w:bidi="en-US"/>
              </w:rPr>
              <w:t>Number of people who need to be vaccinated to prevent one clinical case</w:t>
            </w:r>
            <w:r w:rsidRPr="00160D9D">
              <w:rPr>
                <w:b/>
                <w:vertAlign w:val="superscript"/>
                <w:lang w:bidi="en-US"/>
              </w:rPr>
              <w:t>2</w:t>
            </w:r>
          </w:p>
        </w:tc>
      </w:tr>
      <w:tr w:rsidR="00160D9D" w:rsidRPr="00160D9D" w14:paraId="7CAA4938" w14:textId="77777777" w:rsidTr="006D3539">
        <w:trPr>
          <w:trHeight w:val="705"/>
        </w:trPr>
        <w:tc>
          <w:tcPr>
            <w:tcW w:w="294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D9356E" w14:textId="77777777" w:rsidR="00160D9D" w:rsidRPr="00911C75" w:rsidRDefault="00160D9D" w:rsidP="00160D9D">
            <w:pPr>
              <w:keepNext/>
              <w:jc w:val="center"/>
              <w:rPr>
                <w:rFonts w:eastAsia="Calibri"/>
                <w:b/>
                <w:bCs/>
                <w:lang w:eastAsia="ru-RU"/>
              </w:rPr>
            </w:pPr>
            <w:r w:rsidRPr="00D04F07">
              <w:rPr>
                <w:b/>
                <w:lang w:bidi="en-US"/>
              </w:rPr>
              <w:t>Analysis of all CAP episodes</w:t>
            </w:r>
          </w:p>
        </w:tc>
        <w:tc>
          <w:tcPr>
            <w:tcW w:w="21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E39E5D" w14:textId="77777777" w:rsidR="00160D9D" w:rsidRPr="00160D9D" w:rsidRDefault="00160D9D" w:rsidP="00160D9D">
            <w:pPr>
              <w:spacing w:after="200" w:line="276" w:lineRule="auto"/>
              <w:jc w:val="center"/>
              <w:rPr>
                <w:lang w:val="ru-RU" w:eastAsia="ru-RU"/>
              </w:rPr>
            </w:pPr>
            <w:r w:rsidRPr="00160D9D">
              <w:rPr>
                <w:lang w:bidi="en-US"/>
              </w:rPr>
              <w:t xml:space="preserve">8.1 </w:t>
            </w:r>
            <w:r w:rsidRPr="00160D9D">
              <w:rPr>
                <w:lang w:bidi="en-US"/>
              </w:rPr>
              <w:br/>
              <w:t>(-0.6; 16.1)</w:t>
            </w:r>
          </w:p>
        </w:tc>
        <w:tc>
          <w:tcPr>
            <w:tcW w:w="22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3F5B16" w14:textId="77777777" w:rsidR="00160D9D" w:rsidRPr="00160D9D" w:rsidRDefault="00160D9D" w:rsidP="00160D9D">
            <w:pPr>
              <w:keepNext/>
              <w:keepLines/>
              <w:jc w:val="center"/>
              <w:rPr>
                <w:lang w:val="ru-RU" w:eastAsia="ru-RU"/>
              </w:rPr>
            </w:pPr>
            <w:r w:rsidRPr="00160D9D">
              <w:rPr>
                <w:lang w:bidi="en-US"/>
              </w:rPr>
              <w:t>72.2</w:t>
            </w:r>
          </w:p>
          <w:p w14:paraId="399613DD" w14:textId="77777777" w:rsidR="00160D9D" w:rsidRPr="00160D9D" w:rsidRDefault="00160D9D" w:rsidP="00160D9D">
            <w:pPr>
              <w:keepNext/>
              <w:keepLines/>
              <w:jc w:val="center"/>
              <w:rPr>
                <w:lang w:val="ru-RU" w:eastAsia="ru-RU"/>
              </w:rPr>
            </w:pPr>
            <w:r w:rsidRPr="00160D9D">
              <w:rPr>
                <w:lang w:bidi="en-US"/>
              </w:rPr>
              <w:t>(-5.3; 149.6)</w:t>
            </w:r>
          </w:p>
        </w:tc>
        <w:tc>
          <w:tcPr>
            <w:tcW w:w="1661" w:type="dxa"/>
            <w:tcBorders>
              <w:top w:val="single" w:sz="4" w:space="0" w:color="auto"/>
              <w:left w:val="nil"/>
              <w:bottom w:val="single" w:sz="8" w:space="0" w:color="auto"/>
              <w:right w:val="single" w:sz="8" w:space="0" w:color="auto"/>
            </w:tcBorders>
            <w:shd w:val="clear" w:color="auto" w:fill="FFFFFF"/>
          </w:tcPr>
          <w:p w14:paraId="4D84D9F4" w14:textId="77777777" w:rsidR="00160D9D" w:rsidRPr="00160D9D" w:rsidRDefault="00160D9D" w:rsidP="00160D9D">
            <w:pPr>
              <w:spacing w:after="200" w:line="276" w:lineRule="auto"/>
              <w:jc w:val="center"/>
              <w:rPr>
                <w:lang w:val="ru-RU" w:eastAsia="ru-RU"/>
              </w:rPr>
            </w:pPr>
            <w:r w:rsidRPr="00160D9D">
              <w:rPr>
                <w:lang w:bidi="en-US"/>
              </w:rPr>
              <w:t>277</w:t>
            </w:r>
          </w:p>
        </w:tc>
      </w:tr>
      <w:tr w:rsidR="00160D9D" w:rsidRPr="00160D9D" w14:paraId="2BF42793" w14:textId="77777777" w:rsidTr="006D3539">
        <w:trPr>
          <w:trHeight w:val="629"/>
        </w:trPr>
        <w:tc>
          <w:tcPr>
            <w:tcW w:w="29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C7D28B" w14:textId="77777777" w:rsidR="00160D9D" w:rsidRPr="00911C75" w:rsidRDefault="00160D9D" w:rsidP="00160D9D">
            <w:pPr>
              <w:keepNext/>
              <w:jc w:val="center"/>
              <w:rPr>
                <w:rFonts w:eastAsia="Calibri"/>
                <w:b/>
                <w:bCs/>
                <w:lang w:eastAsia="ru-RU"/>
              </w:rPr>
            </w:pPr>
            <w:r w:rsidRPr="00D04F07">
              <w:rPr>
                <w:b/>
                <w:lang w:bidi="en-US"/>
              </w:rPr>
              <w:t>Analysis of the first CAP episode</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4F93C" w14:textId="77777777" w:rsidR="00160D9D" w:rsidRPr="00160D9D" w:rsidRDefault="00160D9D" w:rsidP="00160D9D">
            <w:pPr>
              <w:keepNext/>
              <w:keepLines/>
              <w:jc w:val="center"/>
              <w:rPr>
                <w:lang w:val="ru-RU" w:eastAsia="ru-RU"/>
              </w:rPr>
            </w:pPr>
            <w:r w:rsidRPr="00160D9D">
              <w:rPr>
                <w:lang w:bidi="en-US"/>
              </w:rPr>
              <w:t xml:space="preserve">7.3 </w:t>
            </w:r>
          </w:p>
          <w:p w14:paraId="0A3A4B5E" w14:textId="77777777" w:rsidR="00160D9D" w:rsidRPr="00160D9D" w:rsidRDefault="00160D9D" w:rsidP="00160D9D">
            <w:pPr>
              <w:keepNext/>
              <w:keepLines/>
              <w:jc w:val="center"/>
              <w:rPr>
                <w:lang w:val="ru-RU" w:eastAsia="ru-RU"/>
              </w:rPr>
            </w:pPr>
            <w:r w:rsidRPr="00160D9D">
              <w:rPr>
                <w:lang w:bidi="en-US"/>
              </w:rPr>
              <w:t>(-0.4; 14.4)</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9FD15" w14:textId="77777777" w:rsidR="00160D9D" w:rsidRPr="00160D9D" w:rsidRDefault="00160D9D" w:rsidP="00160D9D">
            <w:pPr>
              <w:keepNext/>
              <w:keepLines/>
              <w:jc w:val="center"/>
              <w:rPr>
                <w:lang w:val="ru-RU" w:eastAsia="ru-RU"/>
              </w:rPr>
            </w:pPr>
            <w:r w:rsidRPr="00160D9D">
              <w:rPr>
                <w:lang w:bidi="en-US"/>
              </w:rPr>
              <w:t xml:space="preserve">53.0 </w:t>
            </w:r>
          </w:p>
          <w:p w14:paraId="721F07B6" w14:textId="77777777" w:rsidR="00160D9D" w:rsidRPr="00160D9D" w:rsidRDefault="00160D9D" w:rsidP="00160D9D">
            <w:pPr>
              <w:keepNext/>
              <w:keepLines/>
              <w:jc w:val="center"/>
              <w:rPr>
                <w:lang w:val="ru-RU" w:eastAsia="ru-RU"/>
              </w:rPr>
            </w:pPr>
            <w:r w:rsidRPr="00160D9D">
              <w:rPr>
                <w:lang w:bidi="en-US"/>
              </w:rPr>
              <w:t>(-2.7; 108.7)</w:t>
            </w:r>
          </w:p>
        </w:tc>
        <w:tc>
          <w:tcPr>
            <w:tcW w:w="1661" w:type="dxa"/>
            <w:tcBorders>
              <w:top w:val="nil"/>
              <w:left w:val="nil"/>
              <w:bottom w:val="single" w:sz="8" w:space="0" w:color="auto"/>
              <w:right w:val="single" w:sz="8" w:space="0" w:color="auto"/>
            </w:tcBorders>
            <w:shd w:val="clear" w:color="auto" w:fill="FFFFFF"/>
          </w:tcPr>
          <w:p w14:paraId="2B77BF57" w14:textId="77777777" w:rsidR="00160D9D" w:rsidRPr="00160D9D" w:rsidRDefault="00160D9D" w:rsidP="00160D9D">
            <w:pPr>
              <w:spacing w:after="200" w:line="276" w:lineRule="auto"/>
              <w:jc w:val="center"/>
              <w:rPr>
                <w:lang w:val="ru-RU" w:eastAsia="ru-RU"/>
              </w:rPr>
            </w:pPr>
            <w:r w:rsidRPr="00160D9D">
              <w:rPr>
                <w:lang w:bidi="en-US"/>
              </w:rPr>
              <w:t>378</w:t>
            </w:r>
          </w:p>
        </w:tc>
      </w:tr>
      <w:tr w:rsidR="00160D9D" w:rsidRPr="007B49C0" w14:paraId="577F13BE" w14:textId="77777777" w:rsidTr="006D3539">
        <w:trPr>
          <w:trHeight w:val="1816"/>
        </w:trPr>
        <w:tc>
          <w:tcPr>
            <w:tcW w:w="900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9F0A5E" w14:textId="77777777" w:rsidR="00160D9D" w:rsidRPr="00911C75" w:rsidRDefault="00160D9D" w:rsidP="00160D9D">
            <w:pPr>
              <w:rPr>
                <w:lang w:eastAsia="ru-RU"/>
              </w:rPr>
            </w:pPr>
            <w:r w:rsidRPr="00160D9D">
              <w:rPr>
                <w:lang w:bidi="en-US"/>
              </w:rPr>
              <w:t>* Patients with at least two of the following symptoms: cough; purulent sputum, body temperature &gt;38°C or &lt;36.1°C; auscultation-detected pneumonia; leukocytosis; C-reactive protein levels 3 times higher of the upper limit; hypoxemia at partial oxygen pressure &lt;60 mmHg when breathing the room air.</w:t>
            </w:r>
          </w:p>
          <w:p w14:paraId="005D9B6F" w14:textId="77777777" w:rsidR="00160D9D" w:rsidRPr="00911C75" w:rsidRDefault="00160D9D" w:rsidP="00160D9D">
            <w:pPr>
              <w:rPr>
                <w:lang w:eastAsia="ru-RU"/>
              </w:rPr>
            </w:pPr>
            <w:r w:rsidRPr="00160D9D">
              <w:rPr>
                <w:vertAlign w:val="superscript"/>
                <w:lang w:bidi="en-US"/>
              </w:rPr>
              <w:t xml:space="preserve">1 </w:t>
            </w:r>
            <w:r w:rsidRPr="00160D9D">
              <w:rPr>
                <w:lang w:bidi="en-US"/>
              </w:rPr>
              <w:t>in 100,000 person-years on follow-up.</w:t>
            </w:r>
          </w:p>
          <w:p w14:paraId="2220984A" w14:textId="77777777" w:rsidR="00160D9D" w:rsidRPr="00911C75" w:rsidRDefault="00160D9D" w:rsidP="00160D9D">
            <w:pPr>
              <w:rPr>
                <w:lang w:eastAsia="ru-RU"/>
              </w:rPr>
            </w:pPr>
            <w:r w:rsidRPr="00160D9D">
              <w:rPr>
                <w:vertAlign w:val="superscript"/>
                <w:lang w:bidi="en-US"/>
              </w:rPr>
              <w:t>2</w:t>
            </w:r>
            <w:r w:rsidRPr="00160D9D">
              <w:rPr>
                <w:lang w:bidi="en-US"/>
              </w:rPr>
              <w:t xml:space="preserve"> on the basis of protective action during 5 years.</w:t>
            </w:r>
          </w:p>
        </w:tc>
      </w:tr>
    </w:tbl>
    <w:p w14:paraId="4125457A" w14:textId="77777777" w:rsidR="00160D9D" w:rsidRPr="00911C75" w:rsidRDefault="00160D9D" w:rsidP="00160D9D">
      <w:pPr>
        <w:tabs>
          <w:tab w:val="left" w:pos="7740"/>
        </w:tabs>
        <w:spacing w:line="360" w:lineRule="auto"/>
        <w:jc w:val="both"/>
      </w:pPr>
      <w:r w:rsidRPr="00160D9D">
        <w:rPr>
          <w:lang w:bidi="en-US"/>
        </w:rPr>
        <w:t>Although the CAPiTA study has not been designed to prove serotype-specific vaccine efficacy (VE), CAP clinical cases have been assessed for all serotypes that caused at least 10 outcomes in the placebo group. VE (95% CI) for the five assessed serotypes relative to the first episode of clinical CAP was 20.0% (-83.1% to 65.8%) for serotype 1; 61.5% (17.6% to 83.4%) for serotype 3; 33.3% (-58.6% to 73.2 %) for serotype 6A; 73.3% (40.5% to 89.4%) for serotype 7F; and 45.2% (-2.2% to 71.5%) for serotype 19A.</w:t>
      </w:r>
    </w:p>
    <w:p w14:paraId="4DE730E9" w14:textId="77777777" w:rsidR="00160D9D" w:rsidRPr="00911C75" w:rsidRDefault="00160D9D" w:rsidP="00160D9D">
      <w:pPr>
        <w:spacing w:line="360" w:lineRule="auto"/>
        <w:jc w:val="both"/>
        <w:rPr>
          <w:b/>
          <w:bCs/>
          <w:i/>
        </w:rPr>
      </w:pPr>
      <w:r w:rsidRPr="00160D9D">
        <w:rPr>
          <w:b/>
          <w:i/>
          <w:lang w:bidi="en-US"/>
        </w:rPr>
        <w:t>Immunogenicity of Prevenar</w:t>
      </w:r>
      <w:r w:rsidRPr="00160D9D">
        <w:rPr>
          <w:b/>
          <w:i/>
          <w:vertAlign w:val="superscript"/>
          <w:lang w:bidi="en-US"/>
        </w:rPr>
        <w:t>®</w:t>
      </w:r>
      <w:r w:rsidRPr="00160D9D">
        <w:rPr>
          <w:b/>
          <w:i/>
          <w:lang w:bidi="en-US"/>
        </w:rPr>
        <w:t xml:space="preserve"> 13 vaccine in adults</w:t>
      </w:r>
    </w:p>
    <w:p w14:paraId="394C4172" w14:textId="77777777" w:rsidR="00160D9D" w:rsidRPr="00911C75" w:rsidRDefault="00160D9D" w:rsidP="00160D9D">
      <w:pPr>
        <w:spacing w:line="360" w:lineRule="auto"/>
        <w:jc w:val="both"/>
        <w:rPr>
          <w:bCs/>
        </w:rPr>
      </w:pPr>
      <w:r w:rsidRPr="00160D9D">
        <w:rPr>
          <w:lang w:bidi="en-US"/>
        </w:rPr>
        <w:t>Prevenar</w:t>
      </w:r>
      <w:r w:rsidRPr="00160D9D">
        <w:rPr>
          <w:vertAlign w:val="superscript"/>
          <w:lang w:bidi="en-US"/>
        </w:rPr>
        <w:t xml:space="preserve">® </w:t>
      </w:r>
      <w:r w:rsidRPr="00160D9D">
        <w:rPr>
          <w:lang w:bidi="en-US"/>
        </w:rPr>
        <w:t>13 clinical trials provide immunogenicity data for adults aged 18 and over, including those 65 years of age and over and those who have previously received one or more doses of a 23-valent polysaccharide pneumococcal vaccine (PPV23) five years prior to inclusion in the study. Each study involved healthy adults and immunocompetent patients with chronic diseases in the compensatory stage, including comorbidities forming increased susceptibility to pneumococcal infection (chronic cardiovascular diseases, chronic lung diseases, including asthma; kidney diseases and diabetes mellitus, chronic liver diseases, including alcohol liver damage), as well as adults with social risk factors (smoking and alcohol abuse). Immunogenicity and safety of Prevenar</w:t>
      </w:r>
      <w:r w:rsidRPr="00160D9D">
        <w:rPr>
          <w:vertAlign w:val="superscript"/>
          <w:lang w:bidi="en-US"/>
        </w:rPr>
        <w:t>®</w:t>
      </w:r>
      <w:r w:rsidRPr="00160D9D">
        <w:rPr>
          <w:lang w:bidi="en-US"/>
        </w:rPr>
        <w:t xml:space="preserve"> 13 have been demonstrated for adults of 18 years and older, including the patients previously vaccinated with PPV23. Immunological equivalence has been established for 12 serotypes common with PPV23. In addition, a statistically significant higher immune response to Prevenar</w:t>
      </w:r>
      <w:r w:rsidRPr="00160D9D">
        <w:rPr>
          <w:vertAlign w:val="superscript"/>
          <w:lang w:bidi="en-US"/>
        </w:rPr>
        <w:t>®</w:t>
      </w:r>
      <w:r w:rsidRPr="00160D9D">
        <w:rPr>
          <w:lang w:bidi="en-US"/>
        </w:rPr>
        <w:t xml:space="preserve"> 13 has been demonstrated for 8 serotypes common with PPV23 and serotype 6A unique to Prevenar</w:t>
      </w:r>
      <w:r w:rsidRPr="00160D9D">
        <w:rPr>
          <w:vertAlign w:val="superscript"/>
          <w:lang w:bidi="en-US"/>
        </w:rPr>
        <w:t>®</w:t>
      </w:r>
      <w:r w:rsidRPr="00160D9D">
        <w:rPr>
          <w:lang w:bidi="en-US"/>
        </w:rPr>
        <w:t xml:space="preserve"> 13. In adults aged 18-59, the serotype specific opsonophagocytic activity (OPA GMT) to all 13 Prevenar</w:t>
      </w:r>
      <w:r w:rsidRPr="00160D9D">
        <w:rPr>
          <w:vertAlign w:val="superscript"/>
          <w:lang w:bidi="en-US"/>
        </w:rPr>
        <w:t>®</w:t>
      </w:r>
      <w:r w:rsidRPr="00160D9D">
        <w:rPr>
          <w:lang w:bidi="en-US"/>
        </w:rPr>
        <w:t xml:space="preserve"> 13 serotypes were not lower than </w:t>
      </w:r>
      <w:r w:rsidRPr="00160D9D">
        <w:rPr>
          <w:lang w:bidi="en-US"/>
        </w:rPr>
        <w:lastRenderedPageBreak/>
        <w:t>that in adults aged 60-64. Moreover, those aged 50-59 gave a statistically higher immune response to 9 out of 13 serotypes compared to people aged 60-64.</w:t>
      </w:r>
    </w:p>
    <w:p w14:paraId="3D779459" w14:textId="77777777" w:rsidR="00160D9D" w:rsidRPr="00911C75" w:rsidRDefault="00160D9D" w:rsidP="00160D9D">
      <w:pPr>
        <w:spacing w:line="360" w:lineRule="auto"/>
        <w:jc w:val="both"/>
        <w:rPr>
          <w:b/>
          <w:bCs/>
          <w:i/>
        </w:rPr>
      </w:pPr>
      <w:r w:rsidRPr="00160D9D">
        <w:rPr>
          <w:b/>
          <w:i/>
          <w:lang w:bidi="en-US"/>
        </w:rPr>
        <w:t>Immune response in adults previously vaccinated with PPV23</w:t>
      </w:r>
    </w:p>
    <w:p w14:paraId="2F82DD52" w14:textId="77777777" w:rsidR="00160D9D" w:rsidRPr="00911C75" w:rsidRDefault="00160D9D" w:rsidP="00160D9D">
      <w:pPr>
        <w:spacing w:line="360" w:lineRule="auto"/>
        <w:jc w:val="both"/>
        <w:rPr>
          <w:bCs/>
        </w:rPr>
      </w:pPr>
      <w:r w:rsidRPr="00160D9D">
        <w:rPr>
          <w:lang w:bidi="en-US"/>
        </w:rPr>
        <w:t>In adults aged 70 and older previously vaccinated with 1 dose of PPV23 ≥5 years ago, Prevenar</w:t>
      </w:r>
      <w:r w:rsidRPr="00160D9D">
        <w:rPr>
          <w:vertAlign w:val="superscript"/>
          <w:lang w:bidi="en-US"/>
        </w:rPr>
        <w:t>®</w:t>
      </w:r>
      <w:r w:rsidRPr="00160D9D">
        <w:rPr>
          <w:lang w:bidi="en-US"/>
        </w:rPr>
        <w:t xml:space="preserve"> 13 administration demonstrated immunological equivalence for 12 general serotypes compared to the response to PPV23. For 10 common serotypes and serotype 6A, the immune response to Prevenar</w:t>
      </w:r>
      <w:r w:rsidRPr="00160D9D">
        <w:rPr>
          <w:vertAlign w:val="superscript"/>
          <w:lang w:bidi="en-US"/>
        </w:rPr>
        <w:t>®</w:t>
      </w:r>
      <w:r w:rsidRPr="00160D9D">
        <w:rPr>
          <w:lang w:bidi="en-US"/>
        </w:rPr>
        <w:t xml:space="preserve"> 13 was statistically significantly higher compared to the response to PPV23. Prevenar</w:t>
      </w:r>
      <w:r w:rsidRPr="00160D9D">
        <w:rPr>
          <w:vertAlign w:val="superscript"/>
          <w:lang w:bidi="en-US"/>
        </w:rPr>
        <w:t>®</w:t>
      </w:r>
      <w:r w:rsidRPr="00160D9D">
        <w:rPr>
          <w:lang w:bidi="en-US"/>
        </w:rPr>
        <w:t xml:space="preserve"> 13 provides a more pronounced immune response compared to PPV23 revaccination.</w:t>
      </w:r>
    </w:p>
    <w:p w14:paraId="4A71551A" w14:textId="77777777" w:rsidR="00160D9D" w:rsidRPr="00911C75" w:rsidRDefault="00160D9D" w:rsidP="00160D9D">
      <w:pPr>
        <w:spacing w:line="360" w:lineRule="auto"/>
        <w:jc w:val="both"/>
        <w:rPr>
          <w:b/>
          <w:bCs/>
          <w:i/>
        </w:rPr>
      </w:pPr>
      <w:r w:rsidRPr="00160D9D">
        <w:rPr>
          <w:b/>
          <w:i/>
          <w:lang w:bidi="en-US"/>
        </w:rPr>
        <w:t>Immune response in special patient groups</w:t>
      </w:r>
    </w:p>
    <w:p w14:paraId="78DA96C4" w14:textId="77777777" w:rsidR="00160D9D" w:rsidRPr="00911C75" w:rsidRDefault="00160D9D" w:rsidP="00160D9D">
      <w:pPr>
        <w:spacing w:line="360" w:lineRule="auto"/>
        <w:jc w:val="both"/>
        <w:rPr>
          <w:bCs/>
        </w:rPr>
      </w:pPr>
      <w:r w:rsidRPr="00160D9D">
        <w:rPr>
          <w:lang w:bidi="en-US"/>
        </w:rPr>
        <w:t xml:space="preserve">Patients with the conditions described below are at increased risk of pneumococcal infection. </w:t>
      </w:r>
    </w:p>
    <w:p w14:paraId="74D6D29D" w14:textId="77777777" w:rsidR="00160D9D" w:rsidRPr="00911C75" w:rsidRDefault="00160D9D" w:rsidP="00160D9D">
      <w:pPr>
        <w:spacing w:line="360" w:lineRule="auto"/>
        <w:jc w:val="both"/>
        <w:rPr>
          <w:bCs/>
          <w:i/>
          <w:u w:val="single"/>
        </w:rPr>
      </w:pPr>
      <w:r w:rsidRPr="00160D9D">
        <w:rPr>
          <w:i/>
          <w:u w:val="single"/>
          <w:lang w:bidi="en-US"/>
        </w:rPr>
        <w:t>Sickle cell anemia (SCA)</w:t>
      </w:r>
    </w:p>
    <w:p w14:paraId="705AC326" w14:textId="77777777" w:rsidR="00160D9D" w:rsidRPr="00911C75" w:rsidRDefault="00160D9D" w:rsidP="00160D9D">
      <w:pPr>
        <w:spacing w:line="360" w:lineRule="auto"/>
        <w:jc w:val="both"/>
        <w:rPr>
          <w:bCs/>
        </w:rPr>
      </w:pPr>
      <w:r w:rsidRPr="00160D9D">
        <w:rPr>
          <w:lang w:bidi="en-US"/>
        </w:rPr>
        <w:t>An open noncomparative study involving 158 children and adolescents aged ≥6 and &lt;18 with sickle cell anemia, previously vaccinated with one or more doses of PPV23 at least 6 months prior to inclusion into the study, showed that administration of the first dose of Prevenar</w:t>
      </w:r>
      <w:r w:rsidRPr="00160D9D">
        <w:rPr>
          <w:vertAlign w:val="superscript"/>
          <w:lang w:bidi="en-US"/>
        </w:rPr>
        <w:t>®</w:t>
      </w:r>
      <w:r w:rsidRPr="00160D9D">
        <w:rPr>
          <w:lang w:bidi="en-US"/>
        </w:rPr>
        <w:t xml:space="preserve"> 13 at double vaccination with a 6-month interval resulted in a statistically significantly high immune response (geometric mean concentrations (GMC) of IgG to each serotype determined by ELISA test and OPA GMT to each serotype). The immune response after the second dose was comparable to that after the first dose of the drug.</w:t>
      </w:r>
    </w:p>
    <w:p w14:paraId="64FD7B38" w14:textId="77777777" w:rsidR="00160D9D" w:rsidRPr="00911C75" w:rsidRDefault="00160D9D" w:rsidP="00510D24">
      <w:pPr>
        <w:keepNext/>
        <w:spacing w:line="360" w:lineRule="auto"/>
        <w:jc w:val="both"/>
        <w:rPr>
          <w:bCs/>
          <w:i/>
          <w:u w:val="single"/>
        </w:rPr>
      </w:pPr>
      <w:r w:rsidRPr="00160D9D">
        <w:rPr>
          <w:i/>
          <w:u w:val="single"/>
          <w:lang w:bidi="en-US"/>
        </w:rPr>
        <w:t>HIV infection</w:t>
      </w:r>
    </w:p>
    <w:p w14:paraId="6B6CFB44" w14:textId="77777777" w:rsidR="00160D9D" w:rsidRPr="00911C75" w:rsidRDefault="00160D9D" w:rsidP="00160D9D">
      <w:pPr>
        <w:spacing w:line="360" w:lineRule="auto"/>
        <w:jc w:val="both"/>
        <w:rPr>
          <w:bCs/>
        </w:rPr>
      </w:pPr>
      <w:r w:rsidRPr="00160D9D">
        <w:rPr>
          <w:lang w:bidi="en-US"/>
        </w:rPr>
        <w:t>HIV-infected children and adults with CD4 ≥200 cells/μL (average 717.0 cells/μL), viral load &lt;50,000 copies/mL (average 2,090.0 copies/mL), without any active AIDS-associated diseases and previously unvaccinated with pneumococcal vaccines, received three doses of Prevenar</w:t>
      </w:r>
      <w:r w:rsidRPr="00160D9D">
        <w:rPr>
          <w:vertAlign w:val="superscript"/>
          <w:lang w:bidi="en-US"/>
        </w:rPr>
        <w:t>®</w:t>
      </w:r>
      <w:r w:rsidRPr="00160D9D">
        <w:rPr>
          <w:lang w:bidi="en-US"/>
        </w:rPr>
        <w:t xml:space="preserve"> 13. IgG GMC and OPA values were significantly higher after the first Prevenar</w:t>
      </w:r>
      <w:r w:rsidRPr="00160D9D">
        <w:rPr>
          <w:vertAlign w:val="superscript"/>
          <w:lang w:bidi="en-US"/>
        </w:rPr>
        <w:t>®</w:t>
      </w:r>
      <w:r w:rsidRPr="00160D9D">
        <w:rPr>
          <w:lang w:bidi="en-US"/>
        </w:rPr>
        <w:t xml:space="preserve"> 13 vaccination compared to pre-vaccinal levels. A higher immune response developed after the second and third doses (6 and 12 months later) when compared to the response after the single dose of Prevenar</w:t>
      </w:r>
      <w:r w:rsidRPr="00160D9D">
        <w:rPr>
          <w:vertAlign w:val="superscript"/>
          <w:lang w:bidi="en-US"/>
        </w:rPr>
        <w:t xml:space="preserve">® </w:t>
      </w:r>
      <w:r w:rsidRPr="00160D9D">
        <w:rPr>
          <w:lang w:bidi="en-US"/>
        </w:rPr>
        <w:t>13.</w:t>
      </w:r>
    </w:p>
    <w:p w14:paraId="4EF05D6F" w14:textId="77777777" w:rsidR="00160D9D" w:rsidRPr="00911C75" w:rsidRDefault="00160D9D" w:rsidP="00160D9D">
      <w:pPr>
        <w:spacing w:line="360" w:lineRule="auto"/>
        <w:jc w:val="both"/>
        <w:rPr>
          <w:bCs/>
          <w:i/>
          <w:u w:val="single"/>
        </w:rPr>
      </w:pPr>
      <w:r w:rsidRPr="00160D9D">
        <w:rPr>
          <w:i/>
          <w:u w:val="single"/>
          <w:lang w:bidi="en-US"/>
        </w:rPr>
        <w:t>Hematopoietic stem cell transplantation</w:t>
      </w:r>
    </w:p>
    <w:p w14:paraId="763D3D5E" w14:textId="77777777" w:rsidR="00160D9D" w:rsidRPr="00911C75" w:rsidRDefault="00160D9D" w:rsidP="00160D9D">
      <w:pPr>
        <w:spacing w:line="360" w:lineRule="auto"/>
        <w:jc w:val="both"/>
        <w:rPr>
          <w:bCs/>
        </w:rPr>
      </w:pPr>
      <w:r w:rsidRPr="00160D9D">
        <w:rPr>
          <w:lang w:bidi="en-US"/>
        </w:rPr>
        <w:t>Children and adults who have performed allogenic hematopoietic stem cell transplantation (HSCT) at ≥ 2 years of age with complete hematological remission of the underlying disease or with satisfactory partial remission for lymphoma and myeloma, received three doses of Prevenar</w:t>
      </w:r>
      <w:r w:rsidRPr="00160D9D">
        <w:rPr>
          <w:vertAlign w:val="superscript"/>
          <w:lang w:bidi="en-US"/>
        </w:rPr>
        <w:t xml:space="preserve">® </w:t>
      </w:r>
      <w:r w:rsidRPr="00160D9D">
        <w:rPr>
          <w:lang w:bidi="en-US"/>
        </w:rPr>
        <w:t>13 with at least 1 month intervals between doses. The first dose of the drug was injected 3-6 months after HSCT. The fourth (booster) dose of Prevenar</w:t>
      </w:r>
      <w:r w:rsidRPr="00160D9D">
        <w:rPr>
          <w:vertAlign w:val="superscript"/>
          <w:lang w:bidi="en-US"/>
        </w:rPr>
        <w:t>®</w:t>
      </w:r>
      <w:r w:rsidRPr="00160D9D">
        <w:rPr>
          <w:lang w:bidi="en-US"/>
        </w:rPr>
        <w:t xml:space="preserve"> 13 was administered 6 months after the third dose. According to general guidelines, a single dose of PPV23 was administered one month after the fourth dose of Prevenar</w:t>
      </w:r>
      <w:r w:rsidRPr="00160D9D">
        <w:rPr>
          <w:vertAlign w:val="superscript"/>
          <w:lang w:bidi="en-US"/>
        </w:rPr>
        <w:t>®</w:t>
      </w:r>
      <w:r w:rsidRPr="00160D9D">
        <w:rPr>
          <w:lang w:bidi="en-US"/>
        </w:rPr>
        <w:t xml:space="preserve"> 13. The titres of functionally active antibodies (OPA GMT) were not determined in this study. The administration of Prevenar</w:t>
      </w:r>
      <w:r w:rsidRPr="00160D9D">
        <w:rPr>
          <w:vertAlign w:val="superscript"/>
          <w:lang w:bidi="en-US"/>
        </w:rPr>
        <w:t>®</w:t>
      </w:r>
      <w:r w:rsidRPr="00160D9D">
        <w:rPr>
          <w:lang w:bidi="en-US"/>
        </w:rPr>
        <w:t xml:space="preserve"> 13 </w:t>
      </w:r>
      <w:r w:rsidRPr="00160D9D">
        <w:rPr>
          <w:lang w:bidi="en-US"/>
        </w:rPr>
        <w:lastRenderedPageBreak/>
        <w:t>caused an increase in the GMC of serotype-specific antibodies after each dose. The immune response to a booster dose of Prevenar</w:t>
      </w:r>
      <w:r w:rsidRPr="00160D9D">
        <w:rPr>
          <w:vertAlign w:val="superscript"/>
          <w:lang w:bidi="en-US"/>
        </w:rPr>
        <w:t>®</w:t>
      </w:r>
      <w:r w:rsidRPr="00160D9D">
        <w:rPr>
          <w:lang w:bidi="en-US"/>
        </w:rPr>
        <w:t xml:space="preserve"> 13 was significantly higher in comparison with the response to the primary immunization series for all serotypes.</w:t>
      </w:r>
    </w:p>
    <w:p w14:paraId="26683B62" w14:textId="77777777" w:rsidR="00A93A34" w:rsidRPr="00911C75" w:rsidRDefault="00A93A34" w:rsidP="00B507FB">
      <w:pPr>
        <w:pStyle w:val="a4"/>
        <w:spacing w:before="0" w:beforeAutospacing="0" w:after="0" w:afterAutospacing="0" w:line="360" w:lineRule="auto"/>
        <w:jc w:val="both"/>
        <w:rPr>
          <w:bCs/>
        </w:rPr>
      </w:pPr>
    </w:p>
    <w:p w14:paraId="07BAD860" w14:textId="77777777" w:rsidR="00E073E0" w:rsidRPr="00911C75" w:rsidRDefault="00DD16E2" w:rsidP="00B507FB">
      <w:pPr>
        <w:pStyle w:val="a4"/>
        <w:spacing w:before="0" w:beforeAutospacing="0" w:after="0" w:afterAutospacing="0" w:line="360" w:lineRule="auto"/>
        <w:jc w:val="both"/>
        <w:rPr>
          <w:b/>
          <w:bCs/>
        </w:rPr>
      </w:pPr>
      <w:r w:rsidRPr="004223F0">
        <w:rPr>
          <w:b/>
          <w:lang w:bidi="en-US"/>
        </w:rPr>
        <w:t>INDICATIONS:</w:t>
      </w:r>
    </w:p>
    <w:p w14:paraId="260B9013" w14:textId="77777777" w:rsidR="007F73FD" w:rsidRPr="00911C75" w:rsidRDefault="00E073E0" w:rsidP="00B507FB">
      <w:pPr>
        <w:pStyle w:val="a4"/>
        <w:spacing w:before="0" w:beforeAutospacing="0" w:after="0" w:afterAutospacing="0" w:line="360" w:lineRule="auto"/>
        <w:jc w:val="both"/>
      </w:pPr>
      <w:r w:rsidRPr="004223F0">
        <w:rPr>
          <w:lang w:bidi="en-US"/>
        </w:rPr>
        <w:t>- prevention of pneumococcal infections, including invasive (such as meningitis, bacteraemia, sepsis, severe pneumonia) and non-invasive (community acquired pneumonias and otitis media) forms caused by Streptococcus pneumoniae serotypes 1, 3, 4, 5, 6A, 6B, 7F, 9V, 14, 18C, 19A, 19F and 23F for patients aged 2 months and older without age limits;</w:t>
      </w:r>
    </w:p>
    <w:p w14:paraId="24A30165" w14:textId="77777777" w:rsidR="007F73FD" w:rsidRPr="00911C75" w:rsidRDefault="007F73FD" w:rsidP="00B507FB">
      <w:pPr>
        <w:pStyle w:val="a4"/>
        <w:spacing w:before="0" w:beforeAutospacing="0" w:after="0" w:afterAutospacing="0" w:line="360" w:lineRule="auto"/>
        <w:jc w:val="both"/>
      </w:pPr>
      <w:r w:rsidRPr="004223F0">
        <w:rPr>
          <w:lang w:bidi="en-US"/>
        </w:rPr>
        <w:t>- as part of the national preventive vaccination schedule;</w:t>
      </w:r>
    </w:p>
    <w:p w14:paraId="1C794707" w14:textId="77777777" w:rsidR="00E073E0" w:rsidRPr="00911C75" w:rsidRDefault="007F73FD" w:rsidP="00B507FB">
      <w:pPr>
        <w:pStyle w:val="a4"/>
        <w:spacing w:before="0" w:beforeAutospacing="0" w:after="0" w:afterAutospacing="0" w:line="360" w:lineRule="auto"/>
        <w:jc w:val="both"/>
      </w:pPr>
      <w:r w:rsidRPr="004223F0">
        <w:rPr>
          <w:lang w:bidi="en-US"/>
        </w:rPr>
        <w:t>- in patients at high risk of pneumococcal infection.</w:t>
      </w:r>
    </w:p>
    <w:p w14:paraId="73A68805" w14:textId="77777777" w:rsidR="00B817AA" w:rsidRPr="00911C75" w:rsidRDefault="00B817AA" w:rsidP="00B507FB">
      <w:pPr>
        <w:pStyle w:val="a4"/>
        <w:spacing w:before="0" w:beforeAutospacing="0" w:after="0" w:afterAutospacing="0" w:line="360" w:lineRule="auto"/>
        <w:jc w:val="both"/>
      </w:pPr>
      <w:r w:rsidRPr="004223F0">
        <w:rPr>
          <w:lang w:bidi="en-US"/>
        </w:rPr>
        <w:t>Vaccination is conducted as part of the national preventive vaccination schedule according to approved deadlines, as well as for the individuals being at risk for developing pneumococcal infection, including patients with immunodeficient conditions such as HIV, cancer patients receiving immunosuppressive therapy, patients with anatomical/functional asplenia, premature children, patients with cochlear implants or those planning to undergo this surgery, patients with cerebrospinal fluid leakage, patients with diabetes, bronchial asthma, chronic lung, cardiovascular, liver and kidney conditions, persons in organized groups (orphanages, boarding schools, army formations), convalescents of acute otitis media, meningitis and pneumonia, frequently and chronically ill children, patients infected with Mycobacterium tuberculosis, all persons of 50 years of age and over, as well as tobacco smokers.</w:t>
      </w:r>
    </w:p>
    <w:p w14:paraId="56BD15A9" w14:textId="77777777" w:rsidR="007F73FD" w:rsidRPr="00911C75" w:rsidRDefault="007F73FD" w:rsidP="00B507FB">
      <w:pPr>
        <w:pStyle w:val="a4"/>
        <w:spacing w:before="0" w:beforeAutospacing="0" w:after="0" w:afterAutospacing="0" w:line="360" w:lineRule="auto"/>
        <w:jc w:val="both"/>
      </w:pPr>
    </w:p>
    <w:p w14:paraId="2EF4D953" w14:textId="77777777" w:rsidR="00E073E0" w:rsidRPr="004223F0" w:rsidRDefault="00E073E0" w:rsidP="00B507FB">
      <w:pPr>
        <w:pStyle w:val="a4"/>
        <w:spacing w:before="0" w:beforeAutospacing="0" w:after="0" w:afterAutospacing="0" w:line="360" w:lineRule="auto"/>
        <w:jc w:val="both"/>
        <w:rPr>
          <w:b/>
          <w:lang w:val="ru-RU"/>
        </w:rPr>
      </w:pPr>
      <w:r w:rsidRPr="004223F0">
        <w:rPr>
          <w:b/>
          <w:lang w:bidi="en-US"/>
        </w:rPr>
        <w:t>CONTRAINDICATIONS</w:t>
      </w:r>
    </w:p>
    <w:p w14:paraId="02421255" w14:textId="77777777" w:rsidR="00972319" w:rsidRPr="00911C75" w:rsidRDefault="00972319" w:rsidP="00972319">
      <w:pPr>
        <w:pStyle w:val="a4"/>
        <w:numPr>
          <w:ilvl w:val="0"/>
          <w:numId w:val="11"/>
        </w:numPr>
        <w:spacing w:before="0" w:beforeAutospacing="0" w:after="0" w:afterAutospacing="0" w:line="360" w:lineRule="auto"/>
        <w:jc w:val="both"/>
        <w:rPr>
          <w:b/>
        </w:rPr>
      </w:pPr>
      <w:r w:rsidRPr="004223F0">
        <w:rPr>
          <w:lang w:bidi="en-US"/>
        </w:rPr>
        <w:t>Hypersensitivity to the previous administration of Prevenar</w:t>
      </w:r>
      <w:r w:rsidRPr="004223F0">
        <w:rPr>
          <w:vertAlign w:val="superscript"/>
          <w:lang w:bidi="en-US"/>
        </w:rPr>
        <w:t>®</w:t>
      </w:r>
      <w:r w:rsidRPr="004223F0">
        <w:rPr>
          <w:lang w:bidi="en-US"/>
        </w:rPr>
        <w:t xml:space="preserve"> 13 or Prevenar</w:t>
      </w:r>
      <w:r w:rsidRPr="004223F0">
        <w:rPr>
          <w:vertAlign w:val="superscript"/>
          <w:lang w:bidi="en-US"/>
        </w:rPr>
        <w:t>®</w:t>
      </w:r>
      <w:r w:rsidRPr="004223F0">
        <w:rPr>
          <w:lang w:bidi="en-US"/>
        </w:rPr>
        <w:t xml:space="preserve"> (including anaphylactic shock, severe generalized allergic reactions);</w:t>
      </w:r>
    </w:p>
    <w:p w14:paraId="3BC5FDCD" w14:textId="7CF2CCB5" w:rsidR="00972319" w:rsidRPr="00911C75" w:rsidRDefault="00DC191A" w:rsidP="00972319">
      <w:pPr>
        <w:pStyle w:val="a4"/>
        <w:numPr>
          <w:ilvl w:val="0"/>
          <w:numId w:val="11"/>
        </w:numPr>
        <w:spacing w:before="0" w:beforeAutospacing="0" w:after="0" w:afterAutospacing="0" w:line="360" w:lineRule="auto"/>
        <w:jc w:val="both"/>
      </w:pPr>
      <w:r>
        <w:rPr>
          <w:lang w:bidi="en-US"/>
        </w:rPr>
        <w:t>h</w:t>
      </w:r>
      <w:r w:rsidR="00972319" w:rsidRPr="004223F0">
        <w:rPr>
          <w:lang w:bidi="en-US"/>
        </w:rPr>
        <w:t>ypersensitivity to diphtheria anatoxin and/or excipients;</w:t>
      </w:r>
    </w:p>
    <w:p w14:paraId="35A680C9" w14:textId="7D366DF7" w:rsidR="000D0EA5" w:rsidRPr="00DC191A" w:rsidRDefault="00DC191A" w:rsidP="001D3E94">
      <w:pPr>
        <w:pStyle w:val="a4"/>
        <w:numPr>
          <w:ilvl w:val="0"/>
          <w:numId w:val="11"/>
        </w:numPr>
        <w:spacing w:before="0" w:beforeAutospacing="0" w:after="0" w:afterAutospacing="0" w:line="360" w:lineRule="auto"/>
        <w:jc w:val="both"/>
        <w:rPr>
          <w:bCs/>
        </w:rPr>
      </w:pPr>
      <w:r>
        <w:rPr>
          <w:lang w:bidi="en-US"/>
        </w:rPr>
        <w:t>a</w:t>
      </w:r>
      <w:r w:rsidR="00972319" w:rsidRPr="004223F0">
        <w:rPr>
          <w:lang w:bidi="en-US"/>
        </w:rPr>
        <w:t>cute infectious or non-infectious diseases, exacerbated chronic diseases. Vaccinations are carried out after recovery or during remission.</w:t>
      </w:r>
    </w:p>
    <w:p w14:paraId="4FA76B4C" w14:textId="77777777" w:rsidR="001D3E94" w:rsidRPr="00DC191A" w:rsidRDefault="001D3E94" w:rsidP="001D3E94">
      <w:pPr>
        <w:pStyle w:val="a4"/>
        <w:spacing w:before="0" w:beforeAutospacing="0" w:after="0" w:afterAutospacing="0" w:line="360" w:lineRule="auto"/>
        <w:jc w:val="both"/>
        <w:rPr>
          <w:bCs/>
        </w:rPr>
      </w:pPr>
    </w:p>
    <w:p w14:paraId="64CC1900" w14:textId="77777777" w:rsidR="00AF18A4" w:rsidRPr="00911C75" w:rsidDel="00CD52AC" w:rsidRDefault="00DD16E2" w:rsidP="00AF18A4">
      <w:pPr>
        <w:pStyle w:val="af4"/>
        <w:spacing w:line="360" w:lineRule="auto"/>
        <w:jc w:val="both"/>
        <w:rPr>
          <w:b/>
          <w:szCs w:val="24"/>
        </w:rPr>
      </w:pPr>
      <w:r w:rsidRPr="004223F0">
        <w:rPr>
          <w:b/>
          <w:lang w:bidi="en-US"/>
        </w:rPr>
        <w:t>ADMINISTRATION DURING PREGNANCY AND BREASTFEEDING PERIOD</w:t>
      </w:r>
    </w:p>
    <w:p w14:paraId="04E7FF67" w14:textId="77777777" w:rsidR="006F2570" w:rsidRPr="00911C75" w:rsidDel="00CD52AC" w:rsidRDefault="006F2570" w:rsidP="006F2570">
      <w:pPr>
        <w:spacing w:line="360" w:lineRule="auto"/>
        <w:jc w:val="both"/>
        <w:rPr>
          <w:bCs/>
        </w:rPr>
      </w:pPr>
      <w:r w:rsidRPr="004223F0">
        <w:rPr>
          <w:lang w:bidi="en-US"/>
        </w:rPr>
        <w:t>The safety of the vaccine use during pregnancy and breastfeeding has not been confirmed. There are no data on Prevenar</w:t>
      </w:r>
      <w:r w:rsidRPr="004223F0">
        <w:rPr>
          <w:vertAlign w:val="superscript"/>
          <w:lang w:bidi="en-US"/>
        </w:rPr>
        <w:t>®</w:t>
      </w:r>
      <w:r w:rsidRPr="004223F0">
        <w:rPr>
          <w:lang w:bidi="en-US"/>
        </w:rPr>
        <w:t xml:space="preserve"> 13 use during pregnancy. There are no data on the release of vaccine antigens or post-vaccinal antibodies with breast milk at lactation. </w:t>
      </w:r>
    </w:p>
    <w:p w14:paraId="533DC332" w14:textId="0A2BE77A" w:rsidR="000D0EA5" w:rsidRDefault="000D0EA5" w:rsidP="00B4765E">
      <w:pPr>
        <w:spacing w:line="360" w:lineRule="auto"/>
        <w:jc w:val="both"/>
        <w:rPr>
          <w:b/>
          <w:bCs/>
        </w:rPr>
      </w:pPr>
    </w:p>
    <w:p w14:paraId="515BEF7D" w14:textId="77777777" w:rsidR="00911C75" w:rsidRPr="00911C75" w:rsidRDefault="00911C75" w:rsidP="00B4765E">
      <w:pPr>
        <w:spacing w:line="360" w:lineRule="auto"/>
        <w:jc w:val="both"/>
        <w:rPr>
          <w:b/>
          <w:bCs/>
        </w:rPr>
      </w:pPr>
    </w:p>
    <w:p w14:paraId="03763886" w14:textId="77777777" w:rsidR="00B4765E" w:rsidRPr="00911C75" w:rsidRDefault="00E073E0" w:rsidP="00B4765E">
      <w:pPr>
        <w:spacing w:line="360" w:lineRule="auto"/>
        <w:jc w:val="both"/>
        <w:rPr>
          <w:b/>
        </w:rPr>
      </w:pPr>
      <w:r w:rsidRPr="004223F0">
        <w:rPr>
          <w:b/>
          <w:lang w:bidi="en-US"/>
        </w:rPr>
        <w:lastRenderedPageBreak/>
        <w:t>POSOLOGY AND METHOD OF ADMINISTRATION</w:t>
      </w:r>
    </w:p>
    <w:p w14:paraId="69631A9C" w14:textId="77777777" w:rsidR="00E073E0" w:rsidRPr="00911C75" w:rsidRDefault="00E073E0" w:rsidP="00B507FB">
      <w:pPr>
        <w:pStyle w:val="a4"/>
        <w:spacing w:before="0" w:beforeAutospacing="0" w:after="0" w:afterAutospacing="0" w:line="360" w:lineRule="auto"/>
        <w:jc w:val="both"/>
        <w:rPr>
          <w:bCs/>
          <w:i/>
        </w:rPr>
      </w:pPr>
      <w:r w:rsidRPr="004223F0">
        <w:rPr>
          <w:b/>
          <w:i/>
          <w:lang w:bidi="en-US"/>
        </w:rPr>
        <w:t>Dose Route</w:t>
      </w:r>
    </w:p>
    <w:p w14:paraId="1A00B9C7" w14:textId="77777777" w:rsidR="00E073E0" w:rsidRPr="00911C75" w:rsidRDefault="007C2786" w:rsidP="00B507FB">
      <w:pPr>
        <w:pStyle w:val="a4"/>
        <w:spacing w:before="0" w:beforeAutospacing="0" w:after="0" w:afterAutospacing="0" w:line="360" w:lineRule="auto"/>
        <w:jc w:val="both"/>
      </w:pPr>
      <w:r w:rsidRPr="004223F0">
        <w:rPr>
          <w:lang w:bidi="en-US"/>
        </w:rPr>
        <w:t>The vaccine is administered intramuscularly at a single dose of 0.5 mL. In children of the first years of life, the vaccine is injected into the upper and outer surface of the middle third of the thigh, and in those older than 2 years old to the deltoid muscle of the shoulder.</w:t>
      </w:r>
    </w:p>
    <w:p w14:paraId="28E3B85F" w14:textId="77777777" w:rsidR="00303016" w:rsidRPr="00911C75" w:rsidRDefault="00E073E0" w:rsidP="00B507FB">
      <w:pPr>
        <w:pStyle w:val="a4"/>
        <w:spacing w:before="0" w:beforeAutospacing="0" w:after="0" w:afterAutospacing="0" w:line="360" w:lineRule="auto"/>
        <w:jc w:val="both"/>
      </w:pPr>
      <w:r w:rsidRPr="004223F0">
        <w:rPr>
          <w:lang w:bidi="en-US"/>
        </w:rPr>
        <w:t>Before using the Prevenar</w:t>
      </w:r>
      <w:r w:rsidRPr="004223F0">
        <w:rPr>
          <w:vertAlign w:val="superscript"/>
          <w:lang w:bidi="en-US"/>
        </w:rPr>
        <w:t xml:space="preserve">® </w:t>
      </w:r>
      <w:r w:rsidRPr="004223F0">
        <w:rPr>
          <w:lang w:bidi="en-US"/>
        </w:rPr>
        <w:t>13 vaccine syringe, it should be shaken well until homogenous suspension is obtained. Do not use if foreign particles are identified when examining the contents of the syringe, or the contents differs from that specified in the “Description” section of this package leaflet.</w:t>
      </w:r>
    </w:p>
    <w:p w14:paraId="4324ED60" w14:textId="77777777" w:rsidR="00E073E0" w:rsidRPr="00911C75" w:rsidRDefault="00E073E0" w:rsidP="00B507FB">
      <w:pPr>
        <w:pStyle w:val="a4"/>
        <w:spacing w:before="0" w:beforeAutospacing="0" w:after="0" w:afterAutospacing="0" w:line="360" w:lineRule="auto"/>
        <w:jc w:val="both"/>
        <w:rPr>
          <w:b/>
          <w:bCs/>
          <w:i/>
          <w:u w:val="single"/>
        </w:rPr>
      </w:pPr>
      <w:r w:rsidRPr="004223F0">
        <w:rPr>
          <w:b/>
          <w:i/>
          <w:u w:val="single"/>
          <w:lang w:bidi="en-US"/>
        </w:rPr>
        <w:t>Do not inject Prevenar</w:t>
      </w:r>
      <w:r w:rsidRPr="004223F0">
        <w:rPr>
          <w:b/>
          <w:i/>
          <w:u w:val="single"/>
          <w:vertAlign w:val="superscript"/>
          <w:lang w:bidi="en-US"/>
        </w:rPr>
        <w:t xml:space="preserve">® </w:t>
      </w:r>
      <w:r w:rsidRPr="004223F0">
        <w:rPr>
          <w:b/>
          <w:i/>
          <w:u w:val="single"/>
          <w:lang w:bidi="en-US"/>
        </w:rPr>
        <w:t>13 intravascularly and intramuscularly into the gluteus!</w:t>
      </w:r>
    </w:p>
    <w:p w14:paraId="7AB3660C" w14:textId="77777777" w:rsidR="00303016" w:rsidRPr="00911C75" w:rsidRDefault="00303016" w:rsidP="00A53928">
      <w:pPr>
        <w:pStyle w:val="a4"/>
        <w:spacing w:before="0" w:beforeAutospacing="0" w:after="0" w:afterAutospacing="0" w:line="360" w:lineRule="auto"/>
        <w:jc w:val="both"/>
      </w:pPr>
      <w:r w:rsidRPr="004223F0">
        <w:rPr>
          <w:lang w:bidi="en-US"/>
        </w:rPr>
        <w:t>If Prevenar</w:t>
      </w:r>
      <w:r w:rsidRPr="004223F0">
        <w:rPr>
          <w:vertAlign w:val="superscript"/>
          <w:lang w:bidi="en-US"/>
        </w:rPr>
        <w:t>®</w:t>
      </w:r>
      <w:r w:rsidRPr="004223F0">
        <w:rPr>
          <w:lang w:bidi="en-US"/>
        </w:rPr>
        <w:t xml:space="preserve"> 13 vaccination is initiated, it is recommended to complete it with Prevenar</w:t>
      </w:r>
      <w:r w:rsidRPr="004223F0">
        <w:rPr>
          <w:vertAlign w:val="superscript"/>
          <w:lang w:bidi="en-US"/>
        </w:rPr>
        <w:t>®</w:t>
      </w:r>
      <w:r w:rsidRPr="004223F0">
        <w:rPr>
          <w:lang w:bidi="en-US"/>
        </w:rPr>
        <w:t xml:space="preserve"> 13 vaccine as well. If there is a need to increase the intervals between injections during any of the above vaccination courses, additional doses of Prevenar</w:t>
      </w:r>
      <w:r w:rsidRPr="004223F0">
        <w:rPr>
          <w:vertAlign w:val="superscript"/>
          <w:lang w:bidi="en-US"/>
        </w:rPr>
        <w:t>®</w:t>
      </w:r>
      <w:r w:rsidRPr="004223F0">
        <w:rPr>
          <w:lang w:bidi="en-US"/>
        </w:rPr>
        <w:t xml:space="preserve"> 13 are not required.</w:t>
      </w:r>
    </w:p>
    <w:p w14:paraId="4F5EC2F5" w14:textId="77777777" w:rsidR="00E073E0" w:rsidRPr="004223F0" w:rsidRDefault="00E66E04" w:rsidP="00A53928">
      <w:pPr>
        <w:pStyle w:val="a4"/>
        <w:spacing w:before="0" w:beforeAutospacing="0" w:after="0" w:afterAutospacing="0" w:line="360" w:lineRule="auto"/>
        <w:jc w:val="both"/>
        <w:rPr>
          <w:bCs/>
          <w:i/>
          <w:lang w:val="ru-RU"/>
        </w:rPr>
      </w:pPr>
      <w:r w:rsidRPr="004223F0">
        <w:rPr>
          <w:b/>
          <w:i/>
          <w:lang w:bidi="en-US"/>
        </w:rPr>
        <w:t>Vaccination Schedule</w:t>
      </w:r>
    </w:p>
    <w:tbl>
      <w:tblPr>
        <w:tblStyle w:val="afa"/>
        <w:tblW w:w="0" w:type="auto"/>
        <w:tblLayout w:type="fixed"/>
        <w:tblLook w:val="04A0" w:firstRow="1" w:lastRow="0" w:firstColumn="1" w:lastColumn="0" w:noHBand="0" w:noVBand="1"/>
      </w:tblPr>
      <w:tblGrid>
        <w:gridCol w:w="1929"/>
        <w:gridCol w:w="1417"/>
        <w:gridCol w:w="5896"/>
      </w:tblGrid>
      <w:tr w:rsidR="00303016" w:rsidRPr="004223F0" w14:paraId="08CBB87F" w14:textId="77777777" w:rsidTr="00854105">
        <w:tc>
          <w:tcPr>
            <w:tcW w:w="1929" w:type="dxa"/>
            <w:vAlign w:val="center"/>
          </w:tcPr>
          <w:p w14:paraId="016A20BA" w14:textId="77777777" w:rsidR="00AE6D5D" w:rsidRPr="004223F0" w:rsidRDefault="00AE6D5D" w:rsidP="00854105">
            <w:pPr>
              <w:autoSpaceDE w:val="0"/>
              <w:autoSpaceDN w:val="0"/>
              <w:adjustRightInd w:val="0"/>
              <w:spacing w:line="360" w:lineRule="auto"/>
              <w:jc w:val="center"/>
              <w:rPr>
                <w:lang w:val="ru-RU"/>
              </w:rPr>
            </w:pPr>
            <w:r w:rsidRPr="004223F0">
              <w:rPr>
                <w:lang w:bidi="en-US"/>
              </w:rPr>
              <w:t>Vaccination start age</w:t>
            </w:r>
          </w:p>
        </w:tc>
        <w:tc>
          <w:tcPr>
            <w:tcW w:w="1417" w:type="dxa"/>
            <w:vAlign w:val="center"/>
          </w:tcPr>
          <w:p w14:paraId="5F762C60" w14:textId="77777777" w:rsidR="00AE6D5D" w:rsidRPr="004223F0" w:rsidRDefault="00AE6D5D" w:rsidP="00854105">
            <w:pPr>
              <w:autoSpaceDE w:val="0"/>
              <w:autoSpaceDN w:val="0"/>
              <w:adjustRightInd w:val="0"/>
              <w:spacing w:line="360" w:lineRule="auto"/>
              <w:jc w:val="center"/>
              <w:rPr>
                <w:lang w:val="ru-RU"/>
              </w:rPr>
            </w:pPr>
            <w:r w:rsidRPr="004223F0">
              <w:rPr>
                <w:lang w:bidi="en-US"/>
              </w:rPr>
              <w:t>Vaccination schedule</w:t>
            </w:r>
          </w:p>
        </w:tc>
        <w:tc>
          <w:tcPr>
            <w:tcW w:w="5896" w:type="dxa"/>
            <w:vAlign w:val="center"/>
          </w:tcPr>
          <w:p w14:paraId="5391508B" w14:textId="77777777" w:rsidR="00AE6D5D" w:rsidRPr="004223F0" w:rsidRDefault="00AE6D5D" w:rsidP="00854105">
            <w:pPr>
              <w:autoSpaceDE w:val="0"/>
              <w:autoSpaceDN w:val="0"/>
              <w:adjustRightInd w:val="0"/>
              <w:spacing w:line="360" w:lineRule="auto"/>
              <w:jc w:val="center"/>
              <w:rPr>
                <w:lang w:val="ru-RU"/>
              </w:rPr>
            </w:pPr>
            <w:r w:rsidRPr="004223F0">
              <w:rPr>
                <w:lang w:bidi="en-US"/>
              </w:rPr>
              <w:t>Intervals and dosage</w:t>
            </w:r>
          </w:p>
        </w:tc>
      </w:tr>
      <w:tr w:rsidR="00303016" w:rsidRPr="004223F0" w14:paraId="085E046F" w14:textId="77777777" w:rsidTr="00854105">
        <w:tc>
          <w:tcPr>
            <w:tcW w:w="1929" w:type="dxa"/>
          </w:tcPr>
          <w:p w14:paraId="0A718501" w14:textId="77777777" w:rsidR="00AE6D5D" w:rsidRPr="004223F0" w:rsidRDefault="0016350C" w:rsidP="00877334">
            <w:pPr>
              <w:autoSpaceDE w:val="0"/>
              <w:autoSpaceDN w:val="0"/>
              <w:adjustRightInd w:val="0"/>
              <w:spacing w:line="360" w:lineRule="auto"/>
              <w:jc w:val="both"/>
              <w:rPr>
                <w:b/>
                <w:lang w:val="ru-RU"/>
              </w:rPr>
            </w:pPr>
            <w:r w:rsidRPr="004223F0">
              <w:rPr>
                <w:b/>
                <w:lang w:bidi="en-US"/>
              </w:rPr>
              <w:t>2-6 months</w:t>
            </w:r>
          </w:p>
        </w:tc>
        <w:tc>
          <w:tcPr>
            <w:tcW w:w="1417" w:type="dxa"/>
          </w:tcPr>
          <w:p w14:paraId="400838ED" w14:textId="77777777" w:rsidR="00303016" w:rsidRPr="004223F0" w:rsidRDefault="00303016" w:rsidP="00854105">
            <w:pPr>
              <w:autoSpaceDE w:val="0"/>
              <w:autoSpaceDN w:val="0"/>
              <w:adjustRightInd w:val="0"/>
              <w:spacing w:line="360" w:lineRule="auto"/>
              <w:jc w:val="center"/>
              <w:rPr>
                <w:lang w:val="ru-RU"/>
              </w:rPr>
            </w:pPr>
          </w:p>
          <w:p w14:paraId="167CB378" w14:textId="77777777" w:rsidR="00822364" w:rsidRPr="004223F0" w:rsidRDefault="00822364" w:rsidP="00854105">
            <w:pPr>
              <w:autoSpaceDE w:val="0"/>
              <w:autoSpaceDN w:val="0"/>
              <w:adjustRightInd w:val="0"/>
              <w:spacing w:line="360" w:lineRule="auto"/>
              <w:jc w:val="center"/>
              <w:rPr>
                <w:lang w:val="ru-RU"/>
              </w:rPr>
            </w:pPr>
            <w:r w:rsidRPr="004223F0">
              <w:rPr>
                <w:lang w:bidi="en-US"/>
              </w:rPr>
              <w:t>3+1</w:t>
            </w:r>
          </w:p>
          <w:p w14:paraId="48FDAE20" w14:textId="77777777" w:rsidR="00822364" w:rsidRPr="004223F0" w:rsidRDefault="00822364" w:rsidP="00854105">
            <w:pPr>
              <w:autoSpaceDE w:val="0"/>
              <w:autoSpaceDN w:val="0"/>
              <w:adjustRightInd w:val="0"/>
              <w:spacing w:line="360" w:lineRule="auto"/>
              <w:jc w:val="center"/>
              <w:rPr>
                <w:lang w:val="ru-RU"/>
              </w:rPr>
            </w:pPr>
            <w:r w:rsidRPr="004223F0">
              <w:rPr>
                <w:lang w:bidi="en-US"/>
              </w:rPr>
              <w:t>or</w:t>
            </w:r>
          </w:p>
          <w:p w14:paraId="470DEFEB" w14:textId="77777777" w:rsidR="00AE6D5D" w:rsidRPr="004223F0" w:rsidRDefault="00822364" w:rsidP="00854105">
            <w:pPr>
              <w:autoSpaceDE w:val="0"/>
              <w:autoSpaceDN w:val="0"/>
              <w:adjustRightInd w:val="0"/>
              <w:spacing w:line="360" w:lineRule="auto"/>
              <w:jc w:val="center"/>
              <w:rPr>
                <w:lang w:val="ru-RU"/>
              </w:rPr>
            </w:pPr>
            <w:r w:rsidRPr="004223F0">
              <w:rPr>
                <w:lang w:bidi="en-US"/>
              </w:rPr>
              <w:t>2+1</w:t>
            </w:r>
          </w:p>
        </w:tc>
        <w:tc>
          <w:tcPr>
            <w:tcW w:w="5896" w:type="dxa"/>
          </w:tcPr>
          <w:p w14:paraId="7CB9F298" w14:textId="77777777" w:rsidR="00AE6D5D" w:rsidRPr="00911C75" w:rsidRDefault="00A43F77" w:rsidP="00854105">
            <w:pPr>
              <w:autoSpaceDE w:val="0"/>
              <w:autoSpaceDN w:val="0"/>
              <w:adjustRightInd w:val="0"/>
              <w:spacing w:line="360" w:lineRule="auto"/>
              <w:jc w:val="both"/>
            </w:pPr>
            <w:r w:rsidRPr="004223F0">
              <w:rPr>
                <w:lang w:bidi="en-US"/>
              </w:rPr>
              <w:t>Individual immunization: 3 doses with an interval of at least 4 weeks between injections. The first dose can be administered at the age of 2 months. Revaccination with a single dose at the age of 11-15 months.</w:t>
            </w:r>
          </w:p>
          <w:p w14:paraId="049CA476" w14:textId="77777777" w:rsidR="00822364" w:rsidRPr="00911C75" w:rsidRDefault="00A43F77" w:rsidP="00854105">
            <w:pPr>
              <w:autoSpaceDE w:val="0"/>
              <w:autoSpaceDN w:val="0"/>
              <w:adjustRightInd w:val="0"/>
              <w:spacing w:line="360" w:lineRule="auto"/>
              <w:jc w:val="both"/>
            </w:pPr>
            <w:r w:rsidRPr="004223F0">
              <w:rPr>
                <w:lang w:bidi="en-US"/>
              </w:rPr>
              <w:t>Mass immunization of children: 2 doses with an interval of at least 8 weeks between injections. Revaccination with a single dose at the age of 11-15 months.</w:t>
            </w:r>
          </w:p>
        </w:tc>
      </w:tr>
      <w:tr w:rsidR="00303016" w:rsidRPr="007B49C0" w14:paraId="5845FDE9" w14:textId="77777777" w:rsidTr="00854105">
        <w:tc>
          <w:tcPr>
            <w:tcW w:w="1929" w:type="dxa"/>
          </w:tcPr>
          <w:p w14:paraId="19DCC754" w14:textId="77777777" w:rsidR="00AE6D5D" w:rsidRPr="004223F0" w:rsidRDefault="00A52AA1" w:rsidP="00854105">
            <w:pPr>
              <w:autoSpaceDE w:val="0"/>
              <w:autoSpaceDN w:val="0"/>
              <w:adjustRightInd w:val="0"/>
              <w:spacing w:line="360" w:lineRule="auto"/>
              <w:jc w:val="both"/>
              <w:rPr>
                <w:b/>
                <w:lang w:val="ru-RU"/>
              </w:rPr>
            </w:pPr>
            <w:r w:rsidRPr="004223F0">
              <w:rPr>
                <w:b/>
                <w:lang w:bidi="en-US"/>
              </w:rPr>
              <w:t>7-11 months</w:t>
            </w:r>
          </w:p>
        </w:tc>
        <w:tc>
          <w:tcPr>
            <w:tcW w:w="1417" w:type="dxa"/>
          </w:tcPr>
          <w:p w14:paraId="45D7B36A" w14:textId="77777777" w:rsidR="00AE6D5D" w:rsidRPr="004223F0" w:rsidRDefault="00303016" w:rsidP="00854105">
            <w:pPr>
              <w:autoSpaceDE w:val="0"/>
              <w:autoSpaceDN w:val="0"/>
              <w:adjustRightInd w:val="0"/>
              <w:spacing w:line="360" w:lineRule="auto"/>
              <w:jc w:val="center"/>
              <w:rPr>
                <w:lang w:val="ru-RU"/>
              </w:rPr>
            </w:pPr>
            <w:r w:rsidRPr="004223F0">
              <w:rPr>
                <w:lang w:bidi="en-US"/>
              </w:rPr>
              <w:t>2+1</w:t>
            </w:r>
          </w:p>
        </w:tc>
        <w:tc>
          <w:tcPr>
            <w:tcW w:w="5896" w:type="dxa"/>
          </w:tcPr>
          <w:p w14:paraId="7F0AB16F" w14:textId="77777777" w:rsidR="00AE6D5D" w:rsidRPr="00911C75" w:rsidRDefault="00303016" w:rsidP="00854105">
            <w:pPr>
              <w:autoSpaceDE w:val="0"/>
              <w:autoSpaceDN w:val="0"/>
              <w:adjustRightInd w:val="0"/>
              <w:spacing w:line="360" w:lineRule="auto"/>
              <w:jc w:val="both"/>
            </w:pPr>
            <w:r w:rsidRPr="004223F0">
              <w:rPr>
                <w:lang w:bidi="en-US"/>
              </w:rPr>
              <w:t>2 doses with an interval of at least 4 weeks between injections. Revaccination with a single dose during the second year of life</w:t>
            </w:r>
          </w:p>
        </w:tc>
      </w:tr>
      <w:tr w:rsidR="00303016" w:rsidRPr="007B49C0" w14:paraId="2D1A03F7" w14:textId="77777777" w:rsidTr="00854105">
        <w:tc>
          <w:tcPr>
            <w:tcW w:w="1929" w:type="dxa"/>
          </w:tcPr>
          <w:p w14:paraId="102AC6F6" w14:textId="77777777" w:rsidR="00A52AA1" w:rsidRPr="004223F0" w:rsidRDefault="00A52AA1" w:rsidP="00854105">
            <w:pPr>
              <w:autoSpaceDE w:val="0"/>
              <w:autoSpaceDN w:val="0"/>
              <w:adjustRightInd w:val="0"/>
              <w:spacing w:line="360" w:lineRule="auto"/>
              <w:jc w:val="both"/>
              <w:rPr>
                <w:b/>
                <w:lang w:val="ru-RU"/>
              </w:rPr>
            </w:pPr>
            <w:r w:rsidRPr="004223F0">
              <w:rPr>
                <w:b/>
                <w:lang w:bidi="en-US"/>
              </w:rPr>
              <w:t>12-23 months</w:t>
            </w:r>
          </w:p>
        </w:tc>
        <w:tc>
          <w:tcPr>
            <w:tcW w:w="1417" w:type="dxa"/>
          </w:tcPr>
          <w:p w14:paraId="541F93BF" w14:textId="77777777" w:rsidR="00AE6D5D" w:rsidRPr="004223F0" w:rsidRDefault="00303016" w:rsidP="00854105">
            <w:pPr>
              <w:autoSpaceDE w:val="0"/>
              <w:autoSpaceDN w:val="0"/>
              <w:adjustRightInd w:val="0"/>
              <w:spacing w:line="360" w:lineRule="auto"/>
              <w:jc w:val="center"/>
              <w:rPr>
                <w:lang w:val="ru-RU"/>
              </w:rPr>
            </w:pPr>
            <w:r w:rsidRPr="004223F0">
              <w:rPr>
                <w:lang w:bidi="en-US"/>
              </w:rPr>
              <w:t>1+1</w:t>
            </w:r>
          </w:p>
        </w:tc>
        <w:tc>
          <w:tcPr>
            <w:tcW w:w="5896" w:type="dxa"/>
          </w:tcPr>
          <w:p w14:paraId="5A73F20F" w14:textId="77777777" w:rsidR="00AE6D5D" w:rsidRPr="00911C75" w:rsidRDefault="00303016" w:rsidP="00854105">
            <w:pPr>
              <w:autoSpaceDE w:val="0"/>
              <w:autoSpaceDN w:val="0"/>
              <w:adjustRightInd w:val="0"/>
              <w:spacing w:line="360" w:lineRule="auto"/>
              <w:jc w:val="both"/>
            </w:pPr>
            <w:r w:rsidRPr="004223F0">
              <w:rPr>
                <w:lang w:bidi="en-US"/>
              </w:rPr>
              <w:t>2 doses with an interval of at least 8 weeks between injections.</w:t>
            </w:r>
          </w:p>
        </w:tc>
      </w:tr>
      <w:tr w:rsidR="00303016" w:rsidRPr="004223F0" w14:paraId="23CB566F" w14:textId="77777777" w:rsidTr="00854105">
        <w:tc>
          <w:tcPr>
            <w:tcW w:w="1929" w:type="dxa"/>
          </w:tcPr>
          <w:p w14:paraId="5A16DE64" w14:textId="77777777" w:rsidR="001975D4" w:rsidRPr="004223F0" w:rsidRDefault="00A52AA1" w:rsidP="00854105">
            <w:pPr>
              <w:autoSpaceDE w:val="0"/>
              <w:autoSpaceDN w:val="0"/>
              <w:adjustRightInd w:val="0"/>
              <w:spacing w:line="360" w:lineRule="auto"/>
              <w:jc w:val="both"/>
              <w:rPr>
                <w:b/>
                <w:lang w:val="ru-RU"/>
              </w:rPr>
            </w:pPr>
            <w:r w:rsidRPr="004223F0">
              <w:rPr>
                <w:b/>
                <w:lang w:bidi="en-US"/>
              </w:rPr>
              <w:t>2 years and over</w:t>
            </w:r>
          </w:p>
        </w:tc>
        <w:tc>
          <w:tcPr>
            <w:tcW w:w="1417" w:type="dxa"/>
          </w:tcPr>
          <w:p w14:paraId="3A5E7CFE" w14:textId="77777777" w:rsidR="00AE6D5D" w:rsidRPr="004223F0" w:rsidRDefault="00303016" w:rsidP="00854105">
            <w:pPr>
              <w:autoSpaceDE w:val="0"/>
              <w:autoSpaceDN w:val="0"/>
              <w:adjustRightInd w:val="0"/>
              <w:spacing w:line="360" w:lineRule="auto"/>
              <w:jc w:val="center"/>
              <w:rPr>
                <w:lang w:val="ru-RU"/>
              </w:rPr>
            </w:pPr>
            <w:r w:rsidRPr="004223F0">
              <w:rPr>
                <w:lang w:bidi="en-US"/>
              </w:rPr>
              <w:t>1</w:t>
            </w:r>
          </w:p>
        </w:tc>
        <w:tc>
          <w:tcPr>
            <w:tcW w:w="5896" w:type="dxa"/>
          </w:tcPr>
          <w:p w14:paraId="55EDEDDF" w14:textId="77777777" w:rsidR="00AE6D5D" w:rsidRPr="004223F0" w:rsidRDefault="00AB26B4" w:rsidP="00854105">
            <w:pPr>
              <w:autoSpaceDE w:val="0"/>
              <w:autoSpaceDN w:val="0"/>
              <w:adjustRightInd w:val="0"/>
              <w:spacing w:line="360" w:lineRule="auto"/>
              <w:jc w:val="both"/>
              <w:rPr>
                <w:lang w:val="ru-RU"/>
              </w:rPr>
            </w:pPr>
            <w:r w:rsidRPr="004223F0">
              <w:rPr>
                <w:lang w:bidi="en-US"/>
              </w:rPr>
              <w:t>Single dose</w:t>
            </w:r>
          </w:p>
        </w:tc>
      </w:tr>
    </w:tbl>
    <w:p w14:paraId="4ABFB2AC" w14:textId="77777777" w:rsidR="00E073E0" w:rsidRPr="00911C75" w:rsidRDefault="00E073E0" w:rsidP="00B507FB">
      <w:pPr>
        <w:pStyle w:val="a4"/>
        <w:spacing w:before="0" w:beforeAutospacing="0" w:after="0" w:afterAutospacing="0" w:line="360" w:lineRule="auto"/>
        <w:jc w:val="both"/>
      </w:pPr>
      <w:r w:rsidRPr="004223F0">
        <w:rPr>
          <w:b/>
          <w:i/>
          <w:u w:val="single"/>
          <w:lang w:bidi="en-US"/>
        </w:rPr>
        <w:t>Children previously vaccinated with Prevenar</w:t>
      </w:r>
      <w:r w:rsidRPr="004223F0">
        <w:rPr>
          <w:b/>
          <w:i/>
          <w:u w:val="single"/>
          <w:vertAlign w:val="superscript"/>
          <w:lang w:bidi="en-US"/>
        </w:rPr>
        <w:t>®</w:t>
      </w:r>
    </w:p>
    <w:p w14:paraId="37363BDD" w14:textId="77777777" w:rsidR="00E073E0" w:rsidRPr="00911C75" w:rsidRDefault="00E073E0" w:rsidP="00B507FB">
      <w:pPr>
        <w:pStyle w:val="a4"/>
        <w:spacing w:before="0" w:beforeAutospacing="0" w:after="0" w:afterAutospacing="0" w:line="360" w:lineRule="auto"/>
        <w:jc w:val="both"/>
      </w:pPr>
      <w:r w:rsidRPr="004223F0">
        <w:rPr>
          <w:lang w:bidi="en-US"/>
        </w:rPr>
        <w:t>Vaccination against pneumococcal infection initiated using the 7-valent Prevenar</w:t>
      </w:r>
      <w:r w:rsidRPr="004223F0">
        <w:rPr>
          <w:vertAlign w:val="superscript"/>
          <w:lang w:bidi="en-US"/>
        </w:rPr>
        <w:t>®</w:t>
      </w:r>
      <w:r w:rsidRPr="004223F0">
        <w:rPr>
          <w:lang w:bidi="en-US"/>
        </w:rPr>
        <w:t xml:space="preserve"> vaccine can be continued with Prevenar</w:t>
      </w:r>
      <w:r w:rsidRPr="004223F0">
        <w:rPr>
          <w:vertAlign w:val="superscript"/>
          <w:lang w:bidi="en-US"/>
        </w:rPr>
        <w:t>®</w:t>
      </w:r>
      <w:r w:rsidRPr="004223F0">
        <w:rPr>
          <w:lang w:bidi="en-US"/>
        </w:rPr>
        <w:t xml:space="preserve"> 13 at any stage of the immunization schedule.</w:t>
      </w:r>
    </w:p>
    <w:p w14:paraId="36A35CC9" w14:textId="77777777" w:rsidR="00E073E0" w:rsidRPr="00911C75" w:rsidRDefault="00E073E0" w:rsidP="00F27671">
      <w:pPr>
        <w:pStyle w:val="a4"/>
        <w:keepNext/>
        <w:spacing w:before="0" w:beforeAutospacing="0" w:after="0" w:afterAutospacing="0" w:line="360" w:lineRule="auto"/>
        <w:jc w:val="both"/>
        <w:rPr>
          <w:b/>
          <w:i/>
          <w:u w:val="single"/>
        </w:rPr>
      </w:pPr>
      <w:r w:rsidRPr="004223F0">
        <w:rPr>
          <w:b/>
          <w:i/>
          <w:u w:val="single"/>
          <w:lang w:bidi="en-US"/>
        </w:rPr>
        <w:t>Patients aged 18 or older</w:t>
      </w:r>
    </w:p>
    <w:p w14:paraId="342B5A25" w14:textId="77777777" w:rsidR="00E073E0" w:rsidRPr="00911C75" w:rsidRDefault="001A4DEA" w:rsidP="00B507FB">
      <w:pPr>
        <w:pStyle w:val="a4"/>
        <w:spacing w:before="0" w:beforeAutospacing="0" w:after="0" w:afterAutospacing="0" w:line="360" w:lineRule="auto"/>
        <w:jc w:val="both"/>
      </w:pPr>
      <w:r w:rsidRPr="004223F0">
        <w:rPr>
          <w:lang w:bidi="en-US"/>
        </w:rPr>
        <w:lastRenderedPageBreak/>
        <w:t>Prevenar</w:t>
      </w:r>
      <w:r w:rsidRPr="004223F0">
        <w:rPr>
          <w:vertAlign w:val="superscript"/>
          <w:lang w:bidi="en-US"/>
        </w:rPr>
        <w:t>®</w:t>
      </w:r>
      <w:r w:rsidRPr="004223F0">
        <w:rPr>
          <w:lang w:bidi="en-US"/>
        </w:rPr>
        <w:t xml:space="preserve"> 13 is administered once. The need for revaccination with Prevenar</w:t>
      </w:r>
      <w:r w:rsidRPr="004223F0">
        <w:rPr>
          <w:vertAlign w:val="superscript"/>
          <w:lang w:bidi="en-US"/>
        </w:rPr>
        <w:t>®</w:t>
      </w:r>
      <w:r w:rsidRPr="004223F0">
        <w:rPr>
          <w:lang w:bidi="en-US"/>
        </w:rPr>
        <w:t xml:space="preserve"> 13 has not been determined. Decision on the interval between the administration of Prevenar</w:t>
      </w:r>
      <w:r w:rsidRPr="004223F0">
        <w:rPr>
          <w:vertAlign w:val="superscript"/>
          <w:lang w:bidi="en-US"/>
        </w:rPr>
        <w:t xml:space="preserve">® </w:t>
      </w:r>
      <w:r w:rsidRPr="004223F0">
        <w:rPr>
          <w:lang w:bidi="en-US"/>
        </w:rPr>
        <w:t>13 and PPV23 vaccines should be made in accordance with the official guidelines.</w:t>
      </w:r>
    </w:p>
    <w:p w14:paraId="7E2E1015" w14:textId="77777777" w:rsidR="00AE2A2D" w:rsidRPr="00911C75" w:rsidRDefault="00AE2A2D" w:rsidP="00C22537">
      <w:pPr>
        <w:pStyle w:val="a4"/>
        <w:spacing w:before="0" w:beforeAutospacing="0" w:after="0" w:afterAutospacing="0" w:line="360" w:lineRule="auto"/>
        <w:jc w:val="both"/>
        <w:rPr>
          <w:b/>
          <w:i/>
          <w:u w:val="single"/>
        </w:rPr>
      </w:pPr>
      <w:r w:rsidRPr="004223F0">
        <w:rPr>
          <w:b/>
          <w:i/>
          <w:u w:val="single"/>
          <w:lang w:bidi="en-US"/>
        </w:rPr>
        <w:t>Special populations</w:t>
      </w:r>
    </w:p>
    <w:p w14:paraId="482C033E" w14:textId="77777777" w:rsidR="007901A7" w:rsidRPr="00911C75" w:rsidRDefault="00A2256E" w:rsidP="00323ABE">
      <w:pPr>
        <w:spacing w:line="360" w:lineRule="auto"/>
        <w:jc w:val="both"/>
      </w:pPr>
      <w:r w:rsidRPr="004223F0">
        <w:rPr>
          <w:lang w:bidi="en-US"/>
        </w:rPr>
        <w:t>For patients after hematopoietic stem cell transplantation, an immunization series consisting of four doses of Prevenar</w:t>
      </w:r>
      <w:r w:rsidRPr="004223F0">
        <w:rPr>
          <w:vertAlign w:val="superscript"/>
          <w:lang w:bidi="en-US"/>
        </w:rPr>
        <w:t>®</w:t>
      </w:r>
      <w:r w:rsidRPr="004223F0">
        <w:rPr>
          <w:lang w:bidi="en-US"/>
        </w:rPr>
        <w:t xml:space="preserve"> 13 (by 0.5 mL) is recommended. The first immunization series includes three doses of the drug: the first dose is injected from the third to sixth month after the transplantation. The interval between injections should be 1 month. A revaccination dose is recommended to be injected 6 months after administration of the third dose.</w:t>
      </w:r>
    </w:p>
    <w:p w14:paraId="5B85470D" w14:textId="77777777" w:rsidR="00FB040D" w:rsidRPr="00911C75" w:rsidRDefault="00C53350" w:rsidP="00323ABE">
      <w:pPr>
        <w:spacing w:line="360" w:lineRule="auto"/>
        <w:jc w:val="both"/>
      </w:pPr>
      <w:r w:rsidRPr="004223F0">
        <w:rPr>
          <w:lang w:bidi="en-US"/>
        </w:rPr>
        <w:t>Quadruple vaccination is recommended for preterm infants. The first immunization series includes 3 doses. The first dose should be administered at 2 months of age regardless of the child’s body weight with a 1-month interval between doses. The administration of the fourth (booster) dose is recommended at 12-15 months of age.</w:t>
      </w:r>
    </w:p>
    <w:p w14:paraId="23039C49" w14:textId="77777777" w:rsidR="00FB040D" w:rsidRPr="00911C75" w:rsidRDefault="00FB040D" w:rsidP="00C22537">
      <w:pPr>
        <w:spacing w:line="360" w:lineRule="auto"/>
        <w:jc w:val="both"/>
        <w:rPr>
          <w:i/>
        </w:rPr>
      </w:pPr>
      <w:r w:rsidRPr="004223F0">
        <w:rPr>
          <w:i/>
          <w:lang w:bidi="en-US"/>
        </w:rPr>
        <w:t>Elderly patients</w:t>
      </w:r>
    </w:p>
    <w:p w14:paraId="5C8F58D6" w14:textId="77777777" w:rsidR="00FB040D" w:rsidRPr="00911C75" w:rsidRDefault="00FB040D" w:rsidP="00FB040D">
      <w:pPr>
        <w:spacing w:line="360" w:lineRule="auto"/>
        <w:rPr>
          <w:b/>
        </w:rPr>
      </w:pPr>
      <w:r w:rsidRPr="004223F0">
        <w:rPr>
          <w:lang w:bidi="en-US"/>
        </w:rPr>
        <w:t>Immunogenicity and safety of the Prevenar</w:t>
      </w:r>
      <w:r w:rsidRPr="004223F0">
        <w:rPr>
          <w:vertAlign w:val="superscript"/>
          <w:lang w:bidi="en-US"/>
        </w:rPr>
        <w:t>®</w:t>
      </w:r>
      <w:r w:rsidRPr="004223F0">
        <w:rPr>
          <w:lang w:bidi="en-US"/>
        </w:rPr>
        <w:t xml:space="preserve"> 13 vaccine for older patients have been confirmed.</w:t>
      </w:r>
    </w:p>
    <w:p w14:paraId="024FEC0D" w14:textId="77777777" w:rsidR="00A2256E" w:rsidRPr="00911C75" w:rsidRDefault="00A2256E" w:rsidP="00B507FB">
      <w:pPr>
        <w:spacing w:line="360" w:lineRule="auto"/>
        <w:rPr>
          <w:b/>
        </w:rPr>
      </w:pPr>
    </w:p>
    <w:p w14:paraId="4F1F6E30" w14:textId="77777777" w:rsidR="00E073E0" w:rsidRPr="00911C75" w:rsidRDefault="00E073E0" w:rsidP="00B507FB">
      <w:pPr>
        <w:spacing w:line="360" w:lineRule="auto"/>
        <w:rPr>
          <w:b/>
        </w:rPr>
      </w:pPr>
      <w:r w:rsidRPr="004223F0">
        <w:rPr>
          <w:b/>
          <w:lang w:bidi="en-US"/>
        </w:rPr>
        <w:t>SIDE EFFECTS</w:t>
      </w:r>
    </w:p>
    <w:p w14:paraId="03D2FB83" w14:textId="77777777" w:rsidR="00E073E0" w:rsidRPr="00911C75" w:rsidRDefault="00E073E0" w:rsidP="00B507FB">
      <w:pPr>
        <w:pStyle w:val="a4"/>
        <w:spacing w:before="0" w:beforeAutospacing="0" w:after="0" w:afterAutospacing="0" w:line="360" w:lineRule="auto"/>
        <w:jc w:val="both"/>
      </w:pPr>
      <w:r w:rsidRPr="004223F0">
        <w:rPr>
          <w:lang w:bidi="en-US"/>
        </w:rPr>
        <w:t>The safety of Prevenar</w:t>
      </w:r>
      <w:r w:rsidRPr="004223F0">
        <w:rPr>
          <w:vertAlign w:val="superscript"/>
          <w:lang w:bidi="en-US"/>
        </w:rPr>
        <w:t>®</w:t>
      </w:r>
      <w:r w:rsidRPr="004223F0">
        <w:rPr>
          <w:lang w:bidi="en-US"/>
        </w:rPr>
        <w:t xml:space="preserve"> 13 vaccine has been studied in healthy infants (4,429 children/14,267 vaccine doses) aged 6 weeks to 11-16 months, and in 100 preterm infants (&lt;37 weeks of gestation). In all studies, Prevenar</w:t>
      </w:r>
      <w:r w:rsidRPr="004223F0">
        <w:rPr>
          <w:vertAlign w:val="superscript"/>
          <w:lang w:bidi="en-US"/>
        </w:rPr>
        <w:t xml:space="preserve">® </w:t>
      </w:r>
      <w:r w:rsidRPr="004223F0">
        <w:rPr>
          <w:lang w:bidi="en-US"/>
        </w:rPr>
        <w:t>13 was used simultaneously with other vaccines recommended for the mentioned age.</w:t>
      </w:r>
    </w:p>
    <w:p w14:paraId="5007936D" w14:textId="77777777" w:rsidR="008B3094" w:rsidRPr="00911C75" w:rsidRDefault="00E073E0" w:rsidP="00B507FB">
      <w:pPr>
        <w:spacing w:line="360" w:lineRule="auto"/>
        <w:jc w:val="both"/>
      </w:pPr>
      <w:r w:rsidRPr="004223F0">
        <w:rPr>
          <w:lang w:bidi="en-US"/>
        </w:rPr>
        <w:t>In addition, the safety of Prevenar</w:t>
      </w:r>
      <w:r w:rsidRPr="004223F0">
        <w:rPr>
          <w:vertAlign w:val="superscript"/>
          <w:lang w:bidi="en-US"/>
        </w:rPr>
        <w:t xml:space="preserve">® </w:t>
      </w:r>
      <w:r w:rsidRPr="004223F0">
        <w:rPr>
          <w:lang w:bidi="en-US"/>
        </w:rPr>
        <w:t>13 vaccine has been assessed in 354 children aged 7 months to 5 years having no previous vaccination with any of the pneumococcal conjugated vaccines. The most frequent adverse reactions were local reactions at the injection site, body temperature rise, irritability, reduced appetite, and sleep disturbances. Older children experienced a higher incidence of local reactions compared to infants after the primary vaccination with Prevenar</w:t>
      </w:r>
      <w:r w:rsidRPr="004223F0">
        <w:rPr>
          <w:vertAlign w:val="superscript"/>
          <w:lang w:bidi="en-US"/>
        </w:rPr>
        <w:t>®</w:t>
      </w:r>
      <w:r w:rsidRPr="004223F0">
        <w:rPr>
          <w:lang w:bidi="en-US"/>
        </w:rPr>
        <w:t xml:space="preserve"> 13.</w:t>
      </w:r>
    </w:p>
    <w:p w14:paraId="4DAF9756" w14:textId="77777777" w:rsidR="00D30FBF" w:rsidRPr="00911C75" w:rsidRDefault="00E66E04" w:rsidP="00D30FBF">
      <w:pPr>
        <w:pStyle w:val="a4"/>
        <w:spacing w:before="0" w:beforeAutospacing="0" w:after="0" w:afterAutospacing="0" w:line="360" w:lineRule="auto"/>
        <w:jc w:val="both"/>
      </w:pPr>
      <w:r w:rsidRPr="004223F0">
        <w:rPr>
          <w:lang w:bidi="en-US"/>
        </w:rPr>
        <w:t>In preterm infants (born at ≤37 weeks of gestation, including deeply preterm infants born at less than 28 weeks of gestation and extremely low body weight (≤ 500 g)) vaccinated with Prevenar</w:t>
      </w:r>
      <w:r w:rsidRPr="004223F0">
        <w:rPr>
          <w:vertAlign w:val="superscript"/>
          <w:lang w:bidi="en-US"/>
        </w:rPr>
        <w:t>®</w:t>
      </w:r>
      <w:r w:rsidRPr="004223F0">
        <w:rPr>
          <w:lang w:bidi="en-US"/>
        </w:rPr>
        <w:t xml:space="preserve"> 13, the nature, frequency and severity of post-vaccine reactions were not different from those in term infants.</w:t>
      </w:r>
    </w:p>
    <w:p w14:paraId="644D96CE" w14:textId="77777777" w:rsidR="005B1B81" w:rsidRPr="00911C75" w:rsidRDefault="00E073E0" w:rsidP="00B507FB">
      <w:pPr>
        <w:spacing w:line="360" w:lineRule="auto"/>
        <w:jc w:val="both"/>
      </w:pPr>
      <w:r w:rsidRPr="004223F0">
        <w:rPr>
          <w:lang w:bidi="en-US"/>
        </w:rPr>
        <w:t>Those aged 18 and older had fewer side effects regardless of prior vaccinations. However, the frequency of reactions was similar to those in younger patients.</w:t>
      </w:r>
    </w:p>
    <w:p w14:paraId="0F9F5181" w14:textId="77777777" w:rsidR="00E073E0" w:rsidRPr="00911C75" w:rsidRDefault="005B1B81" w:rsidP="00B507FB">
      <w:pPr>
        <w:spacing w:line="360" w:lineRule="auto"/>
        <w:jc w:val="both"/>
      </w:pPr>
      <w:r w:rsidRPr="004223F0">
        <w:rPr>
          <w:lang w:bidi="en-US"/>
        </w:rPr>
        <w:t>In general, the incidence of side effects was the same in patients of 18-49 age group and in patients over 50 (except for vomiting). This side effect was more common in patients aged 18-49 than in patients aged 50 years and older.</w:t>
      </w:r>
    </w:p>
    <w:p w14:paraId="6E066E38" w14:textId="77777777" w:rsidR="00117553" w:rsidRPr="00911C75" w:rsidRDefault="00117553" w:rsidP="00B507FB">
      <w:pPr>
        <w:spacing w:line="360" w:lineRule="auto"/>
        <w:jc w:val="both"/>
      </w:pPr>
      <w:r w:rsidRPr="004223F0">
        <w:rPr>
          <w:lang w:bidi="en-US"/>
        </w:rPr>
        <w:lastRenderedPageBreak/>
        <w:t>Adult HIV-infected patients had the same incidence of side effects as those aged 50 and older, except for fever and vomiting that were observed very frequently, and nausea that was observed frequently.</w:t>
      </w:r>
    </w:p>
    <w:p w14:paraId="07BF4891" w14:textId="77777777" w:rsidR="00FB040D" w:rsidRPr="00911C75" w:rsidRDefault="005A5035" w:rsidP="00B507FB">
      <w:pPr>
        <w:spacing w:line="360" w:lineRule="auto"/>
        <w:jc w:val="both"/>
      </w:pPr>
      <w:r w:rsidRPr="004223F0">
        <w:rPr>
          <w:lang w:bidi="en-US"/>
        </w:rPr>
        <w:t>In patients after hematopoietic stem cell transplantation, the incidence of side effects was the same as in healthy adult patients, except for fever and vomiting, which occurred very frequently in patients after transplantation. Children and adolescents with sickle cell anemia, HIV infection, or those who underwent hematopoietic stem cell transplantation had the same incidence of side effects as healthy patients aged 2 to 17, except for headaches, vomiting, diarrhea, fever, fatigue, arthralgia and myalgia, which were found to be “very common” in such patients.</w:t>
      </w:r>
    </w:p>
    <w:p w14:paraId="504F9DA5" w14:textId="77777777" w:rsidR="00E073E0" w:rsidRPr="00911C75" w:rsidRDefault="00E073E0" w:rsidP="005076DE">
      <w:pPr>
        <w:pStyle w:val="a4"/>
        <w:spacing w:before="0" w:beforeAutospacing="0" w:after="0" w:afterAutospacing="0" w:line="360" w:lineRule="auto"/>
        <w:jc w:val="both"/>
      </w:pPr>
      <w:r w:rsidRPr="004223F0">
        <w:rPr>
          <w:lang w:bidi="en-US"/>
        </w:rPr>
        <w:t>The adverse reactions listed below are classified according to the frequency of their manifestation across all age groups as follows: very common (≥1/10), common (≥1/100 but &lt;1/10), uncommon (≥1/1000 but &lt;1/100), rare (≥1/10000 but &lt;1/1000), and very rare (≤1/10000).</w:t>
      </w:r>
    </w:p>
    <w:p w14:paraId="195F9AE9" w14:textId="77777777" w:rsidR="00724AD8" w:rsidRPr="00911C75" w:rsidRDefault="00CD7009">
      <w:pPr>
        <w:pStyle w:val="a4"/>
        <w:spacing w:before="0" w:beforeAutospacing="0" w:after="0" w:afterAutospacing="0" w:line="360" w:lineRule="auto"/>
        <w:jc w:val="both"/>
        <w:rPr>
          <w:b/>
          <w:i/>
        </w:rPr>
      </w:pPr>
      <w:r w:rsidRPr="004223F0">
        <w:rPr>
          <w:b/>
          <w:i/>
          <w:lang w:bidi="en-US"/>
        </w:rPr>
        <w:t>Adverse reactions observed in Prevenar</w:t>
      </w:r>
      <w:r w:rsidRPr="004223F0">
        <w:rPr>
          <w:b/>
          <w:i/>
          <w:vertAlign w:val="superscript"/>
          <w:lang w:bidi="en-US"/>
        </w:rPr>
        <w:t>®</w:t>
      </w:r>
      <w:r w:rsidRPr="004223F0">
        <w:rPr>
          <w:b/>
          <w:i/>
          <w:lang w:bidi="en-US"/>
        </w:rPr>
        <w:t xml:space="preserve"> 13 clinical trials</w:t>
      </w:r>
    </w:p>
    <w:p w14:paraId="03C69991" w14:textId="77777777" w:rsidR="00724AD8" w:rsidRPr="00911C75" w:rsidRDefault="00CD3B7A">
      <w:pPr>
        <w:pStyle w:val="a4"/>
        <w:spacing w:before="0" w:beforeAutospacing="0" w:after="0" w:afterAutospacing="0" w:line="360" w:lineRule="auto"/>
        <w:jc w:val="both"/>
      </w:pPr>
      <w:r w:rsidRPr="004223F0">
        <w:rPr>
          <w:i/>
          <w:u w:val="single"/>
          <w:lang w:bidi="en-US"/>
        </w:rPr>
        <w:t>Very common:</w:t>
      </w:r>
      <w:r w:rsidRPr="004223F0">
        <w:rPr>
          <w:i/>
          <w:lang w:bidi="en-US"/>
        </w:rPr>
        <w:t xml:space="preserve"> </w:t>
      </w:r>
      <w:r w:rsidRPr="004223F0">
        <w:rPr>
          <w:lang w:bidi="en-US"/>
        </w:rPr>
        <w:t>hyperthermia; irritability; skin redness, pain, induration or swelling of 2.5-7.0 cm at the injection site (after revaccination and/or in children aged 2-5); vomiting (in patients ages 18 to 49), drowsiness, sleep deterioration, impaired appetite, headache, newly diagnosed generalized or exacerbated joint pain and myalgia, chills, fatigue.</w:t>
      </w:r>
    </w:p>
    <w:p w14:paraId="74FDF6A3" w14:textId="77777777" w:rsidR="00724AD8" w:rsidRPr="00911C75" w:rsidRDefault="00CD3B7A">
      <w:pPr>
        <w:pStyle w:val="a4"/>
        <w:spacing w:before="0" w:beforeAutospacing="0" w:after="0" w:afterAutospacing="0" w:line="360" w:lineRule="auto"/>
        <w:jc w:val="both"/>
      </w:pPr>
      <w:r w:rsidRPr="004223F0">
        <w:rPr>
          <w:i/>
          <w:u w:val="single"/>
          <w:lang w:bidi="en-US"/>
        </w:rPr>
        <w:t>Common</w:t>
      </w:r>
      <w:r w:rsidRPr="004223F0">
        <w:rPr>
          <w:lang w:bidi="en-US"/>
        </w:rPr>
        <w:t>: hyperthermia above 39°C; injection site soreness resulting in short-term limb movement limitation; hyperemia, induration or swelling (2.5–7.0 cm in size) at the site of injection (after a series of primary vaccinations in children under 6 months), vomiting, diarrhea, rash.</w:t>
      </w:r>
    </w:p>
    <w:p w14:paraId="4DEBB670" w14:textId="77777777" w:rsidR="00724AD8" w:rsidRPr="00911C75" w:rsidRDefault="00CD3B7A">
      <w:pPr>
        <w:pStyle w:val="a4"/>
        <w:spacing w:before="0" w:beforeAutospacing="0" w:after="0" w:afterAutospacing="0" w:line="360" w:lineRule="auto"/>
        <w:jc w:val="both"/>
      </w:pPr>
      <w:r w:rsidRPr="004223F0">
        <w:rPr>
          <w:i/>
          <w:u w:val="single"/>
          <w:lang w:bidi="en-US"/>
        </w:rPr>
        <w:t>Uncommon</w:t>
      </w:r>
      <w:r w:rsidRPr="004223F0">
        <w:rPr>
          <w:lang w:bidi="en-US"/>
        </w:rPr>
        <w:t>: skin redness, induration or swelling (larger than 7.0 cm in size) at the site of injection; tearfulness, seizures (including febrile convulsions), hypersensitivity reactions at the injection site (urticaria, dermatitis, itching)**, nausea.</w:t>
      </w:r>
    </w:p>
    <w:p w14:paraId="66C2BDD4" w14:textId="77777777" w:rsidR="00724AD8" w:rsidRPr="00911C75" w:rsidRDefault="00CD3B7A">
      <w:pPr>
        <w:pStyle w:val="a4"/>
        <w:spacing w:before="0" w:beforeAutospacing="0" w:after="0" w:afterAutospacing="0" w:line="360" w:lineRule="auto"/>
        <w:jc w:val="both"/>
      </w:pPr>
      <w:r w:rsidRPr="004223F0">
        <w:rPr>
          <w:i/>
          <w:u w:val="single"/>
          <w:lang w:bidi="en-US"/>
        </w:rPr>
        <w:t>Rare</w:t>
      </w:r>
      <w:r w:rsidRPr="004223F0">
        <w:rPr>
          <w:lang w:bidi="en-US"/>
        </w:rPr>
        <w:t>: hypotonic collapse cases*, blood flushes to the face**, hypersensitivity reaction including shortness of breath, bronchospasm, variously localized Quincke’s edema, including face edema, anaphylactic/anaphylactoid response including acute anaphylaxis**, lymphadenopathy in the injection site.</w:t>
      </w:r>
    </w:p>
    <w:p w14:paraId="57F9515F" w14:textId="77777777" w:rsidR="00792192" w:rsidRPr="00911C75" w:rsidRDefault="00CD3B7A">
      <w:pPr>
        <w:pStyle w:val="a4"/>
        <w:spacing w:before="0" w:beforeAutospacing="0" w:after="0" w:afterAutospacing="0" w:line="276" w:lineRule="auto"/>
        <w:jc w:val="both"/>
        <w:rPr>
          <w:i/>
          <w:u w:val="single"/>
        </w:rPr>
      </w:pPr>
      <w:r w:rsidRPr="004223F0">
        <w:rPr>
          <w:i/>
          <w:u w:val="single"/>
          <w:lang w:bidi="en-US"/>
        </w:rPr>
        <w:t>Very rare</w:t>
      </w:r>
      <w:r w:rsidRPr="004223F0">
        <w:rPr>
          <w:lang w:bidi="en-US"/>
        </w:rPr>
        <w:t>: regional lymphadenopathy**, polyform erythema**.</w:t>
      </w:r>
    </w:p>
    <w:p w14:paraId="12B37DCF" w14:textId="77777777" w:rsidR="00792192" w:rsidRPr="00911C75" w:rsidRDefault="00792192">
      <w:pPr>
        <w:pStyle w:val="a4"/>
        <w:spacing w:before="0" w:beforeAutospacing="0" w:after="0" w:afterAutospacing="0" w:line="276" w:lineRule="auto"/>
        <w:jc w:val="both"/>
        <w:rPr>
          <w:sz w:val="18"/>
          <w:szCs w:val="18"/>
        </w:rPr>
      </w:pPr>
    </w:p>
    <w:p w14:paraId="0AEE2EF1" w14:textId="77777777" w:rsidR="00792192" w:rsidRPr="00911C75" w:rsidRDefault="009A75D1" w:rsidP="00551F1C">
      <w:pPr>
        <w:pStyle w:val="a4"/>
        <w:spacing w:before="0" w:beforeAutospacing="0" w:after="0" w:afterAutospacing="0" w:line="360" w:lineRule="auto"/>
        <w:jc w:val="both"/>
      </w:pPr>
      <w:r w:rsidRPr="004223F0">
        <w:rPr>
          <w:lang w:bidi="en-US"/>
        </w:rPr>
        <w:t>* observed only in Prevenar</w:t>
      </w:r>
      <w:r w:rsidRPr="004223F0">
        <w:rPr>
          <w:vertAlign w:val="superscript"/>
          <w:lang w:bidi="en-US"/>
        </w:rPr>
        <w:t>®</w:t>
      </w:r>
      <w:r w:rsidRPr="004223F0">
        <w:rPr>
          <w:lang w:bidi="en-US"/>
        </w:rPr>
        <w:t xml:space="preserve"> vaccine clinical trials, but are also possible for Prevenar</w:t>
      </w:r>
      <w:r w:rsidRPr="004223F0">
        <w:rPr>
          <w:vertAlign w:val="superscript"/>
          <w:lang w:bidi="en-US"/>
        </w:rPr>
        <w:t>®</w:t>
      </w:r>
      <w:r w:rsidRPr="004223F0">
        <w:rPr>
          <w:lang w:bidi="en-US"/>
        </w:rPr>
        <w:t xml:space="preserve"> 13.</w:t>
      </w:r>
    </w:p>
    <w:p w14:paraId="6E8B84A0" w14:textId="77777777" w:rsidR="00FC037B" w:rsidRPr="00911C75" w:rsidRDefault="009A75D1" w:rsidP="00010F65">
      <w:pPr>
        <w:pStyle w:val="a4"/>
        <w:spacing w:before="0" w:beforeAutospacing="0" w:after="0" w:afterAutospacing="0" w:line="360" w:lineRule="auto"/>
        <w:jc w:val="both"/>
      </w:pPr>
      <w:r w:rsidRPr="004223F0">
        <w:rPr>
          <w:lang w:bidi="en-US"/>
        </w:rPr>
        <w:t>** observed in post-marketing studies of Prevenar</w:t>
      </w:r>
      <w:r w:rsidRPr="004223F0">
        <w:rPr>
          <w:vertAlign w:val="superscript"/>
          <w:lang w:bidi="en-US"/>
        </w:rPr>
        <w:t>®</w:t>
      </w:r>
      <w:r w:rsidRPr="004223F0">
        <w:rPr>
          <w:lang w:bidi="en-US"/>
        </w:rPr>
        <w:t xml:space="preserve"> vaccine; such effects are considered to be possible for Prevenar</w:t>
      </w:r>
      <w:r w:rsidRPr="004223F0">
        <w:rPr>
          <w:vertAlign w:val="superscript"/>
          <w:lang w:bidi="en-US"/>
        </w:rPr>
        <w:t>®</w:t>
      </w:r>
      <w:r w:rsidRPr="004223F0">
        <w:rPr>
          <w:lang w:bidi="en-US"/>
        </w:rPr>
        <w:t xml:space="preserve"> 13 as well.</w:t>
      </w:r>
    </w:p>
    <w:p w14:paraId="796BED5A" w14:textId="77777777" w:rsidR="00B4765E" w:rsidRPr="00911C75" w:rsidRDefault="00CD3B7A" w:rsidP="00010F65">
      <w:pPr>
        <w:pStyle w:val="a4"/>
        <w:spacing w:before="0" w:beforeAutospacing="0" w:after="0" w:afterAutospacing="0" w:line="360" w:lineRule="auto"/>
        <w:jc w:val="both"/>
      </w:pPr>
      <w:r w:rsidRPr="004223F0">
        <w:rPr>
          <w:lang w:bidi="en-US"/>
        </w:rPr>
        <w:lastRenderedPageBreak/>
        <w:t>Adverse events observed in other age groups may also occur in children and adolescents aged 5 to 17. However, they were not observed in clinical studies due to the small number of participants.</w:t>
      </w:r>
    </w:p>
    <w:p w14:paraId="3C7D8005" w14:textId="77777777" w:rsidR="00691A70" w:rsidRPr="00911C75" w:rsidRDefault="00904197" w:rsidP="00010F65">
      <w:pPr>
        <w:spacing w:line="360" w:lineRule="auto"/>
        <w:jc w:val="both"/>
      </w:pPr>
      <w:r w:rsidRPr="004223F0">
        <w:rPr>
          <w:lang w:bidi="en-US"/>
        </w:rPr>
        <w:t>There were no significant differences in the incidence of side effects in adults who were previously vaccinated and unvaccinated with PPV23.</w:t>
      </w:r>
    </w:p>
    <w:p w14:paraId="35A51011" w14:textId="77777777" w:rsidR="00774E79" w:rsidRPr="00911C75" w:rsidRDefault="00774E79" w:rsidP="00010F65">
      <w:pPr>
        <w:spacing w:line="360" w:lineRule="auto"/>
        <w:jc w:val="both"/>
      </w:pPr>
    </w:p>
    <w:p w14:paraId="18662442" w14:textId="77777777" w:rsidR="00E073E0" w:rsidRPr="00911C75" w:rsidRDefault="00E073E0" w:rsidP="00B507FB">
      <w:pPr>
        <w:spacing w:line="360" w:lineRule="auto"/>
        <w:rPr>
          <w:b/>
        </w:rPr>
      </w:pPr>
      <w:r w:rsidRPr="004223F0">
        <w:rPr>
          <w:b/>
          <w:lang w:bidi="en-US"/>
        </w:rPr>
        <w:t>OVERDOSE</w:t>
      </w:r>
    </w:p>
    <w:p w14:paraId="2189C7C7" w14:textId="77777777" w:rsidR="00E073E0" w:rsidRPr="00911C75" w:rsidRDefault="00E073E0" w:rsidP="00B507FB">
      <w:pPr>
        <w:pStyle w:val="a4"/>
        <w:spacing w:before="0" w:beforeAutospacing="0" w:after="0" w:afterAutospacing="0" w:line="360" w:lineRule="auto"/>
        <w:jc w:val="both"/>
        <w:rPr>
          <w:b/>
        </w:rPr>
      </w:pPr>
      <w:r w:rsidRPr="004223F0">
        <w:rPr>
          <w:rStyle w:val="CDSOptionalconceptsChar"/>
          <w:sz w:val="24"/>
          <w:lang w:bidi="en-US"/>
        </w:rPr>
        <w:t>An overdose of Prevenar</w:t>
      </w:r>
      <w:r w:rsidRPr="004223F0">
        <w:rPr>
          <w:vertAlign w:val="superscript"/>
          <w:lang w:bidi="en-US"/>
        </w:rPr>
        <w:t>®</w:t>
      </w:r>
      <w:r w:rsidRPr="004223F0">
        <w:rPr>
          <w:rStyle w:val="CDSOptionalconceptsChar"/>
          <w:sz w:val="24"/>
          <w:lang w:bidi="en-US"/>
        </w:rPr>
        <w:t xml:space="preserve"> 13 is unlikely, as the vaccine is released in a syringe containing a single dose. </w:t>
      </w:r>
    </w:p>
    <w:p w14:paraId="3DC1E1EE" w14:textId="77777777" w:rsidR="008F7CF4" w:rsidRPr="00911C75" w:rsidRDefault="008F7CF4" w:rsidP="00B507FB">
      <w:pPr>
        <w:pStyle w:val="a4"/>
        <w:spacing w:before="0" w:beforeAutospacing="0" w:after="0" w:afterAutospacing="0" w:line="360" w:lineRule="auto"/>
        <w:jc w:val="both"/>
        <w:rPr>
          <w:b/>
        </w:rPr>
      </w:pPr>
    </w:p>
    <w:p w14:paraId="5205299F" w14:textId="77777777" w:rsidR="00E073E0" w:rsidRPr="00911C75" w:rsidRDefault="00E073E0" w:rsidP="00B507FB">
      <w:pPr>
        <w:pStyle w:val="a4"/>
        <w:spacing w:before="0" w:beforeAutospacing="0" w:after="0" w:afterAutospacing="0" w:line="360" w:lineRule="auto"/>
        <w:jc w:val="both"/>
        <w:rPr>
          <w:b/>
        </w:rPr>
      </w:pPr>
      <w:r w:rsidRPr="004223F0">
        <w:rPr>
          <w:b/>
          <w:lang w:bidi="en-US"/>
        </w:rPr>
        <w:t>DRUG INTERACTIONS</w:t>
      </w:r>
    </w:p>
    <w:p w14:paraId="2B1AA183" w14:textId="77777777" w:rsidR="00E073E0" w:rsidRPr="00911C75" w:rsidRDefault="00DE5099" w:rsidP="00B507FB">
      <w:pPr>
        <w:pStyle w:val="a4"/>
        <w:spacing w:before="0" w:beforeAutospacing="0" w:after="0" w:afterAutospacing="0" w:line="360" w:lineRule="auto"/>
        <w:jc w:val="both"/>
      </w:pPr>
      <w:r w:rsidRPr="00DE5099">
        <w:rPr>
          <w:lang w:bidi="en-US"/>
        </w:rPr>
        <w:t>There are no data on Prevenar</w:t>
      </w:r>
      <w:r w:rsidRPr="00DE5099">
        <w:rPr>
          <w:vertAlign w:val="superscript"/>
          <w:lang w:bidi="en-US"/>
        </w:rPr>
        <w:t>®</w:t>
      </w:r>
      <w:r w:rsidRPr="00DE5099">
        <w:rPr>
          <w:lang w:bidi="en-US"/>
        </w:rPr>
        <w:t xml:space="preserve"> 13 interchangeability for other pneumococcal conjugated vaccines. At the same time, Prevenar</w:t>
      </w:r>
      <w:r w:rsidRPr="00DE5099">
        <w:rPr>
          <w:vertAlign w:val="superscript"/>
          <w:lang w:bidi="en-US"/>
        </w:rPr>
        <w:t>®</w:t>
      </w:r>
      <w:r w:rsidRPr="00DE5099">
        <w:rPr>
          <w:lang w:bidi="en-US"/>
        </w:rPr>
        <w:t xml:space="preserve"> 13 and other vaccines are injected into different areas of the body.</w:t>
      </w:r>
    </w:p>
    <w:p w14:paraId="37B2F5E2" w14:textId="77777777" w:rsidR="00E073E0" w:rsidRPr="00911C75" w:rsidRDefault="00E073E0" w:rsidP="00B507FB">
      <w:pPr>
        <w:pStyle w:val="a4"/>
        <w:spacing w:before="0" w:beforeAutospacing="0" w:after="0" w:afterAutospacing="0" w:line="360" w:lineRule="auto"/>
        <w:jc w:val="both"/>
        <w:rPr>
          <w:b/>
          <w:i/>
          <w:u w:val="single"/>
        </w:rPr>
      </w:pPr>
      <w:r w:rsidRPr="004223F0">
        <w:rPr>
          <w:b/>
          <w:i/>
          <w:u w:val="single"/>
          <w:lang w:bidi="en-US"/>
        </w:rPr>
        <w:t>Children aged 2 months to 5 years</w:t>
      </w:r>
    </w:p>
    <w:p w14:paraId="678FAA07" w14:textId="77777777" w:rsidR="00DE5099" w:rsidRPr="00911C75" w:rsidRDefault="00DE5099" w:rsidP="00DE5099">
      <w:pPr>
        <w:pStyle w:val="a4"/>
        <w:spacing w:before="0" w:beforeAutospacing="0" w:after="0" w:afterAutospacing="0" w:line="360" w:lineRule="auto"/>
        <w:jc w:val="both"/>
      </w:pPr>
      <w:r w:rsidRPr="004223F0">
        <w:rPr>
          <w:lang w:bidi="en-US"/>
        </w:rPr>
        <w:t>Prevenar</w:t>
      </w:r>
      <w:r w:rsidRPr="004223F0">
        <w:rPr>
          <w:vertAlign w:val="superscript"/>
          <w:lang w:bidi="en-US"/>
        </w:rPr>
        <w:t>®</w:t>
      </w:r>
      <w:r w:rsidRPr="004223F0">
        <w:rPr>
          <w:lang w:bidi="en-US"/>
        </w:rPr>
        <w:t xml:space="preserve"> 13 is compatible with any other vaccines in the immunization schedule for children, except BCG. Prevenar® 13 does not affect the immunogenicity of both monovalent and combination vaccines when injected simultaneously with any of the following antigens being the part of such vaccines: diphtheria, tetanus, cellular or whole-cell pertussis, Haemophilus influenzae type B, polio, hepatitis A, hepatitis B, measles, parotitis, rubella, chickenpox and rotavirus infection. Due to a higher risk of febrile reactions, symptomatic prescribing of antipyretic agents is recommended for children with convulsive disorders, including patients with a history of febrile convulsions, as well as those receiving Prevenar</w:t>
      </w:r>
      <w:r w:rsidRPr="004223F0">
        <w:rPr>
          <w:vertAlign w:val="superscript"/>
          <w:lang w:bidi="en-US"/>
        </w:rPr>
        <w:t>®</w:t>
      </w:r>
      <w:r w:rsidRPr="004223F0">
        <w:rPr>
          <w:lang w:bidi="en-US"/>
        </w:rPr>
        <w:t xml:space="preserve"> 13 simultaneously with whole-cell pertussis vaccines. When Prevenar</w:t>
      </w:r>
      <w:r w:rsidRPr="004223F0">
        <w:rPr>
          <w:vertAlign w:val="superscript"/>
          <w:lang w:bidi="en-US"/>
        </w:rPr>
        <w:t>®</w:t>
      </w:r>
      <w:r w:rsidRPr="004223F0">
        <w:rPr>
          <w:lang w:bidi="en-US"/>
        </w:rPr>
        <w:t xml:space="preserve"> 13 and Infanrix hexa were used simultaneously, the frequency of febrile reactions coincided with that for the simultaneous administration of Prevenar</w:t>
      </w:r>
      <w:r w:rsidRPr="004223F0">
        <w:rPr>
          <w:vertAlign w:val="superscript"/>
          <w:lang w:bidi="en-US"/>
        </w:rPr>
        <w:t>®</w:t>
      </w:r>
      <w:r w:rsidRPr="004223F0">
        <w:rPr>
          <w:lang w:bidi="en-US"/>
        </w:rPr>
        <w:t xml:space="preserve"> (PCV7) and Infanrix hexa. The increased incidence of convulsions (with and without increased body temperature) and hypotonic-hyporesponsive episodes (HHE) has been observed in case of simultaneous administration of Prevenar</w:t>
      </w:r>
      <w:r w:rsidRPr="004223F0">
        <w:rPr>
          <w:vertAlign w:val="superscript"/>
          <w:lang w:bidi="en-US"/>
        </w:rPr>
        <w:t>®</w:t>
      </w:r>
      <w:r w:rsidRPr="004223F0">
        <w:rPr>
          <w:lang w:bidi="en-US"/>
        </w:rPr>
        <w:t xml:space="preserve"> 13 and Infanrix hexa. The use of antipyretic drugs should be initiated in accordance with local guidelines for treating children with convulsive disorders or children with a history of febrile convulsions, and all children who were administered Prevenar</w:t>
      </w:r>
      <w:r w:rsidRPr="004223F0">
        <w:rPr>
          <w:vertAlign w:val="superscript"/>
          <w:lang w:bidi="en-US"/>
        </w:rPr>
        <w:t>®</w:t>
      </w:r>
      <w:r w:rsidRPr="004223F0">
        <w:rPr>
          <w:lang w:bidi="en-US"/>
        </w:rPr>
        <w:t xml:space="preserve"> 13 together with the whole-cell pertussis vaccine.</w:t>
      </w:r>
    </w:p>
    <w:p w14:paraId="0D7AC0F6" w14:textId="77777777" w:rsidR="00DE5099" w:rsidRPr="00911C75" w:rsidRDefault="00DE5099" w:rsidP="00DE5099">
      <w:pPr>
        <w:pStyle w:val="a4"/>
        <w:spacing w:before="0" w:beforeAutospacing="0" w:after="0" w:afterAutospacing="0" w:line="360" w:lineRule="auto"/>
        <w:jc w:val="both"/>
      </w:pPr>
      <w:r w:rsidRPr="00DE5099">
        <w:rPr>
          <w:lang w:bidi="en-US"/>
        </w:rPr>
        <w:t>Prevenar</w:t>
      </w:r>
      <w:r w:rsidRPr="00DE5099">
        <w:rPr>
          <w:vertAlign w:val="superscript"/>
          <w:lang w:bidi="en-US"/>
        </w:rPr>
        <w:t>®</w:t>
      </w:r>
      <w:r w:rsidRPr="00DE5099">
        <w:rPr>
          <w:lang w:bidi="en-US"/>
        </w:rPr>
        <w:t xml:space="preserve"> 13 can be used simultaneously with a meningococcal polysaccharide vaccine (serotypes A, C, W and Y) conjugated with tetanus anatoxin in children aged 12 to 23 months.</w:t>
      </w:r>
    </w:p>
    <w:p w14:paraId="39495EDB" w14:textId="77777777" w:rsidR="00446369" w:rsidRPr="00911C75" w:rsidRDefault="00DE5099" w:rsidP="00DE5099">
      <w:pPr>
        <w:pStyle w:val="a4"/>
        <w:spacing w:before="0" w:beforeAutospacing="0" w:after="0" w:afterAutospacing="0" w:line="360" w:lineRule="auto"/>
        <w:jc w:val="both"/>
      </w:pPr>
      <w:r w:rsidRPr="004223F0">
        <w:rPr>
          <w:lang w:bidi="en-US"/>
        </w:rPr>
        <w:t>According to the post-marketing study of the preventive use of antipyretic agents against the immune response to the injection of Prevenar</w:t>
      </w:r>
      <w:r w:rsidRPr="004223F0">
        <w:rPr>
          <w:vertAlign w:val="superscript"/>
          <w:lang w:bidi="en-US"/>
        </w:rPr>
        <w:t>®</w:t>
      </w:r>
      <w:r w:rsidRPr="004223F0">
        <w:rPr>
          <w:lang w:bidi="en-US"/>
        </w:rPr>
        <w:t xml:space="preserve"> 13 vaccine, it is assumed that preventive </w:t>
      </w:r>
      <w:r w:rsidRPr="004223F0">
        <w:rPr>
          <w:lang w:bidi="en-US"/>
        </w:rPr>
        <w:lastRenderedPageBreak/>
        <w:t>prescribing of acetaminophen (paracetamol) may reduce the immune response to Prevenar</w:t>
      </w:r>
      <w:r w:rsidRPr="004223F0">
        <w:rPr>
          <w:vertAlign w:val="superscript"/>
          <w:lang w:bidi="en-US"/>
        </w:rPr>
        <w:t>®</w:t>
      </w:r>
      <w:r w:rsidRPr="004223F0">
        <w:rPr>
          <w:lang w:bidi="en-US"/>
        </w:rPr>
        <w:t xml:space="preserve"> 13 primary vaccination series. The immune response to Prevenar</w:t>
      </w:r>
      <w:r w:rsidRPr="004223F0">
        <w:rPr>
          <w:vertAlign w:val="superscript"/>
          <w:lang w:bidi="en-US"/>
        </w:rPr>
        <w:t>®</w:t>
      </w:r>
      <w:r w:rsidRPr="004223F0">
        <w:rPr>
          <w:lang w:bidi="en-US"/>
        </w:rPr>
        <w:t xml:space="preserve"> 13 revaccination at the age of 12 months with preventive use of paracetamol remains unchanged. The clinical significance of these data is unknown.</w:t>
      </w:r>
    </w:p>
    <w:p w14:paraId="4EC8C7F5" w14:textId="77777777" w:rsidR="00E073E0" w:rsidRPr="00911C75" w:rsidRDefault="00CD3B7A" w:rsidP="00B507FB">
      <w:pPr>
        <w:pStyle w:val="a4"/>
        <w:spacing w:before="0" w:beforeAutospacing="0" w:after="0" w:afterAutospacing="0" w:line="360" w:lineRule="auto"/>
        <w:jc w:val="both"/>
        <w:rPr>
          <w:b/>
          <w:i/>
          <w:u w:val="single"/>
        </w:rPr>
      </w:pPr>
      <w:r w:rsidRPr="004223F0">
        <w:rPr>
          <w:b/>
          <w:i/>
          <w:u w:val="single"/>
          <w:lang w:bidi="en-US"/>
        </w:rPr>
        <w:t>Children and adolescents aged 6 to 17 years</w:t>
      </w:r>
    </w:p>
    <w:p w14:paraId="07ABD806" w14:textId="77777777" w:rsidR="00E073E0" w:rsidRPr="00911C75" w:rsidRDefault="001C14F4" w:rsidP="00B507FB">
      <w:pPr>
        <w:pStyle w:val="a4"/>
        <w:spacing w:before="0" w:beforeAutospacing="0" w:after="0" w:afterAutospacing="0" w:line="360" w:lineRule="auto"/>
        <w:jc w:val="both"/>
      </w:pPr>
      <w:r w:rsidRPr="004223F0">
        <w:rPr>
          <w:lang w:bidi="en-US"/>
        </w:rPr>
        <w:t>No data are available on the use of Prevenar</w:t>
      </w:r>
      <w:r w:rsidRPr="004223F0">
        <w:rPr>
          <w:vertAlign w:val="superscript"/>
          <w:lang w:bidi="en-US"/>
        </w:rPr>
        <w:t xml:space="preserve">® </w:t>
      </w:r>
      <w:r w:rsidRPr="004223F0">
        <w:rPr>
          <w:lang w:bidi="en-US"/>
        </w:rPr>
        <w:t>13 simultaneously with the human papillomavirus infection vaccine, meningococcal conjugated vaccine, tetanus, diphtheria and pertussis vaccine, and tick-borne encephalitis vaccine.</w:t>
      </w:r>
    </w:p>
    <w:p w14:paraId="668B25BC" w14:textId="77777777" w:rsidR="00786BE2" w:rsidRPr="00911C75" w:rsidRDefault="00E66E04" w:rsidP="00B507FB">
      <w:pPr>
        <w:pStyle w:val="a4"/>
        <w:spacing w:before="0" w:beforeAutospacing="0" w:after="0" w:afterAutospacing="0" w:line="360" w:lineRule="auto"/>
        <w:jc w:val="both"/>
        <w:rPr>
          <w:b/>
          <w:i/>
          <w:u w:val="single"/>
        </w:rPr>
      </w:pPr>
      <w:r w:rsidRPr="004223F0">
        <w:rPr>
          <w:b/>
          <w:i/>
          <w:u w:val="single"/>
          <w:lang w:bidi="en-US"/>
        </w:rPr>
        <w:t>Patients aged 18 to 49 years</w:t>
      </w:r>
    </w:p>
    <w:p w14:paraId="0333890C" w14:textId="77777777" w:rsidR="00786BE2" w:rsidRPr="00911C75" w:rsidRDefault="00786BE2" w:rsidP="00B507FB">
      <w:pPr>
        <w:pStyle w:val="a4"/>
        <w:spacing w:before="0" w:beforeAutospacing="0" w:after="0" w:afterAutospacing="0" w:line="360" w:lineRule="auto"/>
        <w:jc w:val="both"/>
      </w:pPr>
      <w:r w:rsidRPr="004223F0">
        <w:rPr>
          <w:lang w:bidi="en-US"/>
        </w:rPr>
        <w:t>No data are available on the simultaneous use of Prevenar</w:t>
      </w:r>
      <w:r w:rsidRPr="004223F0">
        <w:rPr>
          <w:vertAlign w:val="superscript"/>
          <w:lang w:bidi="en-US"/>
        </w:rPr>
        <w:t>®</w:t>
      </w:r>
      <w:r w:rsidRPr="004223F0">
        <w:rPr>
          <w:lang w:bidi="en-US"/>
        </w:rPr>
        <w:t xml:space="preserve"> 13 with other vaccines.</w:t>
      </w:r>
    </w:p>
    <w:p w14:paraId="6B1D4C7A" w14:textId="77777777" w:rsidR="00E073E0" w:rsidRPr="00911C75" w:rsidRDefault="00E073E0" w:rsidP="00B507FB">
      <w:pPr>
        <w:pStyle w:val="a4"/>
        <w:spacing w:before="0" w:beforeAutospacing="0" w:after="0" w:afterAutospacing="0" w:line="360" w:lineRule="auto"/>
        <w:jc w:val="both"/>
        <w:rPr>
          <w:b/>
          <w:i/>
          <w:u w:val="single"/>
        </w:rPr>
      </w:pPr>
      <w:r w:rsidRPr="004223F0">
        <w:rPr>
          <w:b/>
          <w:i/>
          <w:u w:val="single"/>
          <w:lang w:bidi="en-US"/>
        </w:rPr>
        <w:t>Patients aged 50 and over</w:t>
      </w:r>
    </w:p>
    <w:p w14:paraId="5E0BCA39" w14:textId="77777777" w:rsidR="00FD1E59" w:rsidRPr="00911C75" w:rsidRDefault="00FD1E59" w:rsidP="00FD1E59">
      <w:pPr>
        <w:pStyle w:val="a4"/>
        <w:spacing w:before="0" w:beforeAutospacing="0" w:after="0" w:afterAutospacing="0" w:line="360" w:lineRule="auto"/>
        <w:jc w:val="both"/>
        <w:rPr>
          <w:bCs/>
        </w:rPr>
      </w:pPr>
      <w:r w:rsidRPr="00DE5099">
        <w:rPr>
          <w:noProof/>
          <w:lang w:val="ru-RU" w:eastAsia="ru-RU"/>
        </w:rPr>
        <mc:AlternateContent>
          <mc:Choice Requires="wpg">
            <w:drawing>
              <wp:anchor distT="0" distB="0" distL="114300" distR="114300" simplePos="0" relativeHeight="251658240" behindDoc="1" locked="0" layoutInCell="1" allowOverlap="1" wp14:anchorId="36740AFB" wp14:editId="1CD61E6C">
                <wp:simplePos x="0" y="0"/>
                <wp:positionH relativeFrom="page">
                  <wp:posOffset>6925310</wp:posOffset>
                </wp:positionH>
                <wp:positionV relativeFrom="paragraph">
                  <wp:posOffset>915035</wp:posOffset>
                </wp:positionV>
                <wp:extent cx="6350" cy="635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906" y="1441"/>
                          <a:chExt cx="10" cy="10"/>
                        </a:xfrm>
                      </wpg:grpSpPr>
                      <wps:wsp>
                        <wps:cNvPr id="2" name="Freeform 28"/>
                        <wps:cNvSpPr>
                          <a:spLocks/>
                        </wps:cNvSpPr>
                        <wps:spPr bwMode="auto">
                          <a:xfrm>
                            <a:off x="10906" y="1441"/>
                            <a:ext cx="10" cy="10"/>
                          </a:xfrm>
                          <a:custGeom>
                            <a:avLst/>
                            <a:gdLst>
                              <a:gd name="T0" fmla="+- 0 10906 10906"/>
                              <a:gd name="T1" fmla="*/ T0 w 10"/>
                              <a:gd name="T2" fmla="+- 0 1446 1441"/>
                              <a:gd name="T3" fmla="*/ 1446 h 10"/>
                              <a:gd name="T4" fmla="+- 0 10915 10906"/>
                              <a:gd name="T5" fmla="*/ T4 w 10"/>
                              <a:gd name="T6" fmla="+- 0 1446 1441"/>
                              <a:gd name="T7" fmla="*/ 1446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FE8AF" id="Группа 1" o:spid="_x0000_s1026" style="position:absolute;margin-left:545.3pt;margin-top:72.05pt;width:.5pt;height:.5pt;z-index:-251658240;mso-position-horizontal-relative:page" coordorigin="10906,1441"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">
                <v:shape id="Freeform 28" o:spid="_x0000_s1027" style="position:absolute;left:10906;top:1441;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" path="m,5r9,e" filled="f" strokeweight=".58pt">
                  <v:path arrowok="t" o:connecttype="custom" o:connectlocs="0,1446;9,1446" o:connectangles="0,0"/>
                </v:shape>
                <w10:wrap anchorx="page"/>
              </v:group>
            </w:pict>
          </mc:Fallback>
        </mc:AlternateContent>
      </w:r>
      <w:r w:rsidR="00DE5099" w:rsidRPr="00DE5099">
        <w:rPr>
          <w:lang w:bidi="en-US"/>
        </w:rPr>
        <w:t>Prevenar</w:t>
      </w:r>
      <w:r w:rsidR="00DE5099" w:rsidRPr="00DE5099">
        <w:rPr>
          <w:vertAlign w:val="superscript"/>
          <w:lang w:bidi="en-US"/>
        </w:rPr>
        <w:t>®</w:t>
      </w:r>
      <w:r w:rsidR="00DE5099" w:rsidRPr="00DE5099">
        <w:rPr>
          <w:lang w:bidi="en-US"/>
        </w:rPr>
        <w:t xml:space="preserve"> 13 vaccine can be used simultaneously with a trivalent or quadrivalent inactivated seasonal influenza vaccine (TIV and QIV). When Prevenar</w:t>
      </w:r>
      <w:r w:rsidR="00DE5099" w:rsidRPr="00DE5099">
        <w:rPr>
          <w:vertAlign w:val="superscript"/>
          <w:lang w:bidi="en-US"/>
        </w:rPr>
        <w:t>®</w:t>
      </w:r>
      <w:r w:rsidR="00DE5099" w:rsidRPr="00DE5099">
        <w:rPr>
          <w:lang w:bidi="en-US"/>
        </w:rPr>
        <w:t xml:space="preserve"> 13 and TIV vaccines were combined, the immune responses to the TIV vaccine matched those received when TIV vaccine alone was administered; the immune responses to Prevenar</w:t>
      </w:r>
      <w:r w:rsidR="00DE5099" w:rsidRPr="00DE5099">
        <w:rPr>
          <w:vertAlign w:val="superscript"/>
          <w:lang w:bidi="en-US"/>
        </w:rPr>
        <w:t>®</w:t>
      </w:r>
      <w:r w:rsidR="00DE5099" w:rsidRPr="00DE5099">
        <w:rPr>
          <w:lang w:bidi="en-US"/>
        </w:rPr>
        <w:t xml:space="preserve"> 13 vaccine were lower compared to the use of Prevenar</w:t>
      </w:r>
      <w:r w:rsidR="00DE5099" w:rsidRPr="00DE5099">
        <w:rPr>
          <w:vertAlign w:val="superscript"/>
          <w:lang w:bidi="en-US"/>
        </w:rPr>
        <w:t>®</w:t>
      </w:r>
      <w:r w:rsidR="00DE5099" w:rsidRPr="00DE5099">
        <w:rPr>
          <w:lang w:bidi="en-US"/>
        </w:rPr>
        <w:t xml:space="preserve"> 13 alone. The clinical significance of this fact is unknown. The incidence of local reactions did not increase when Prevenar</w:t>
      </w:r>
      <w:r w:rsidR="00DE5099" w:rsidRPr="00DE5099">
        <w:rPr>
          <w:vertAlign w:val="superscript"/>
          <w:lang w:bidi="en-US"/>
        </w:rPr>
        <w:t>®</w:t>
      </w:r>
      <w:r w:rsidR="00DE5099" w:rsidRPr="00DE5099">
        <w:rPr>
          <w:lang w:bidi="en-US"/>
        </w:rPr>
        <w:t xml:space="preserve"> 13 was administered with inactivated influenza vaccine, while the incidence of general reactions (headache, chills, rash, impaired appetite, joint and muscle pain) increased in case of simultaneous immunization. Simultaneous use with other vaccines has not been investigated.</w:t>
      </w:r>
    </w:p>
    <w:p w14:paraId="0559DED4" w14:textId="77777777" w:rsidR="00E073E0" w:rsidRPr="00911C75" w:rsidRDefault="00E073E0" w:rsidP="00B507FB">
      <w:pPr>
        <w:spacing w:line="360" w:lineRule="auto"/>
        <w:rPr>
          <w:b/>
        </w:rPr>
      </w:pPr>
    </w:p>
    <w:p w14:paraId="63C610A1" w14:textId="77777777" w:rsidR="00E073E0" w:rsidRPr="00911C75" w:rsidRDefault="00E073E0" w:rsidP="00B507FB">
      <w:pPr>
        <w:spacing w:line="360" w:lineRule="auto"/>
        <w:rPr>
          <w:b/>
        </w:rPr>
      </w:pPr>
      <w:r w:rsidRPr="004223F0">
        <w:rPr>
          <w:b/>
          <w:lang w:bidi="en-US"/>
        </w:rPr>
        <w:t>SPECIAL WARNINGS AND PRECAUTIONS FOR USE</w:t>
      </w:r>
    </w:p>
    <w:p w14:paraId="4078D15F" w14:textId="77777777" w:rsidR="00E073E0" w:rsidRPr="00911C75" w:rsidRDefault="00E073E0" w:rsidP="00B507FB">
      <w:pPr>
        <w:pStyle w:val="a4"/>
        <w:spacing w:before="0" w:beforeAutospacing="0" w:after="0" w:afterAutospacing="0" w:line="360" w:lineRule="auto"/>
        <w:jc w:val="both"/>
      </w:pPr>
      <w:r w:rsidRPr="004223F0">
        <w:rPr>
          <w:lang w:bidi="en-US"/>
        </w:rPr>
        <w:t>Taking into account the rare cases of anaphylactic reactions occurring when any vaccines are used, the vaccinated patient must be medically monitored for a minimum of 30 minutes after vaccination. Vaccination facilities must be provided with anti-shock therapy medications.</w:t>
      </w:r>
    </w:p>
    <w:p w14:paraId="7604FE07" w14:textId="77777777" w:rsidR="00E073E0" w:rsidRPr="00911C75" w:rsidRDefault="0057795B" w:rsidP="00B507FB">
      <w:pPr>
        <w:pStyle w:val="a4"/>
        <w:spacing w:before="0" w:beforeAutospacing="0" w:after="0" w:afterAutospacing="0" w:line="360" w:lineRule="auto"/>
        <w:jc w:val="both"/>
        <w:rPr>
          <w:b/>
          <w:bCs/>
        </w:rPr>
      </w:pPr>
      <w:r w:rsidRPr="004223F0">
        <w:rPr>
          <w:lang w:bidi="en-US"/>
        </w:rPr>
        <w:t>The vaccination of both preterm and term infants should be started at the second month of life (the passport age). When deciding to vaccinate a preterm infant (born at &lt;37 weeks of gestation), especially with a history of respiratory immaturity, one should take into account that the benefit of vaccination against pneumococcal infection in this group of patients is particularly high and the vaccination should not be refused or rescheduled. Due to the potential risk of apnea when using any vaccines, the first vaccination with Prevenar</w:t>
      </w:r>
      <w:r w:rsidRPr="004223F0">
        <w:rPr>
          <w:vertAlign w:val="superscript"/>
          <w:lang w:bidi="en-US"/>
        </w:rPr>
        <w:t>®</w:t>
      </w:r>
      <w:r w:rsidRPr="004223F0">
        <w:rPr>
          <w:lang w:bidi="en-US"/>
        </w:rPr>
        <w:t xml:space="preserve"> 13 in preterm infants can be carried out under medical supervision (during at least 48 h) on the second phase of development care in a hospital.</w:t>
      </w:r>
    </w:p>
    <w:p w14:paraId="38924E8D" w14:textId="77777777" w:rsidR="00E073E0" w:rsidRPr="00911C75" w:rsidRDefault="00E073E0" w:rsidP="00B507FB">
      <w:pPr>
        <w:spacing w:line="360" w:lineRule="auto"/>
        <w:jc w:val="both"/>
        <w:rPr>
          <w:rFonts w:eastAsia="SimSun"/>
          <w:lang w:eastAsia="zh-CN"/>
        </w:rPr>
      </w:pPr>
      <w:r w:rsidRPr="004223F0">
        <w:rPr>
          <w:lang w:bidi="en-US"/>
        </w:rPr>
        <w:t>Like other intramuscular injections, Prevenar</w:t>
      </w:r>
      <w:r w:rsidRPr="004223F0">
        <w:rPr>
          <w:vertAlign w:val="superscript"/>
          <w:lang w:bidi="en-US"/>
        </w:rPr>
        <w:t>®</w:t>
      </w:r>
      <w:r w:rsidRPr="004223F0">
        <w:rPr>
          <w:lang w:bidi="en-US"/>
        </w:rPr>
        <w:t xml:space="preserve"> 13 vaccination in patients with thrombocytopenia and/or other blood clotting disorders (and/or in patients treated with anticoagulants) should be </w:t>
      </w:r>
      <w:r w:rsidRPr="004223F0">
        <w:rPr>
          <w:lang w:bidi="en-US"/>
        </w:rPr>
        <w:lastRenderedPageBreak/>
        <w:t>performed with care to ensure patient stabilization and hemostasis control. Subcutaneous administration of Prevenar</w:t>
      </w:r>
      <w:r w:rsidRPr="004223F0">
        <w:rPr>
          <w:vertAlign w:val="superscript"/>
          <w:lang w:bidi="en-US"/>
        </w:rPr>
        <w:t>®</w:t>
      </w:r>
      <w:r w:rsidRPr="004223F0">
        <w:rPr>
          <w:lang w:bidi="en-US"/>
        </w:rPr>
        <w:t xml:space="preserve"> 13 vaccine is possible in this patient group.</w:t>
      </w:r>
    </w:p>
    <w:p w14:paraId="5FDC4260" w14:textId="77777777" w:rsidR="00AF7512" w:rsidRPr="00911C75" w:rsidRDefault="00AF7512" w:rsidP="00AF7512">
      <w:pPr>
        <w:pStyle w:val="a4"/>
        <w:spacing w:before="0" w:beforeAutospacing="0" w:after="0" w:afterAutospacing="0" w:line="360" w:lineRule="auto"/>
        <w:jc w:val="both"/>
      </w:pPr>
      <w:r w:rsidRPr="004223F0">
        <w:rPr>
          <w:lang w:bidi="en-US"/>
        </w:rPr>
        <w:t>Prevenar</w:t>
      </w:r>
      <w:r w:rsidRPr="004223F0">
        <w:rPr>
          <w:vertAlign w:val="superscript"/>
          <w:lang w:bidi="en-US"/>
        </w:rPr>
        <w:t>®</w:t>
      </w:r>
      <w:r w:rsidRPr="004223F0">
        <w:rPr>
          <w:lang w:bidi="en-US"/>
        </w:rPr>
        <w:t xml:space="preserve"> 13 cannot prevent diseases caused by pneumococci of other serotypes whose antigens are not part of this vaccine.</w:t>
      </w:r>
    </w:p>
    <w:p w14:paraId="1FEB3DD6" w14:textId="77777777" w:rsidR="00901713" w:rsidRPr="00911C75" w:rsidRDefault="00E073E0" w:rsidP="00901713">
      <w:pPr>
        <w:pStyle w:val="a4"/>
        <w:spacing w:before="0" w:beforeAutospacing="0" w:after="0" w:afterAutospacing="0" w:line="360" w:lineRule="auto"/>
        <w:jc w:val="both"/>
      </w:pPr>
      <w:r w:rsidRPr="004223F0">
        <w:rPr>
          <w:lang w:bidi="en-US"/>
        </w:rPr>
        <w:t>The high-risk group children younger than 2 years of age should be given Prevenar</w:t>
      </w:r>
      <w:r w:rsidRPr="004223F0">
        <w:rPr>
          <w:vertAlign w:val="superscript"/>
          <w:lang w:bidi="en-US"/>
        </w:rPr>
        <w:t>®</w:t>
      </w:r>
      <w:r w:rsidRPr="004223F0">
        <w:rPr>
          <w:lang w:bidi="en-US"/>
        </w:rPr>
        <w:t xml:space="preserve"> 13 primary vaccination in accordance with their age. In patients with impaired immunoreactivity, vaccination may be accompanied by reduced levels of antibody formation.</w:t>
      </w:r>
    </w:p>
    <w:p w14:paraId="1EAFEFDE" w14:textId="77777777" w:rsidR="00983A7D" w:rsidRPr="00911C75" w:rsidRDefault="00983A7D" w:rsidP="00901713">
      <w:pPr>
        <w:pStyle w:val="a4"/>
        <w:spacing w:before="0" w:beforeAutospacing="0" w:after="0" w:afterAutospacing="0" w:line="360" w:lineRule="auto"/>
        <w:jc w:val="both"/>
        <w:rPr>
          <w:i/>
        </w:rPr>
      </w:pPr>
      <w:r w:rsidRPr="004223F0">
        <w:rPr>
          <w:i/>
          <w:lang w:bidi="en-US"/>
        </w:rPr>
        <w:t>Use of Prevenar</w:t>
      </w:r>
      <w:r w:rsidRPr="004223F0">
        <w:rPr>
          <w:i/>
          <w:vertAlign w:val="superscript"/>
          <w:lang w:bidi="en-US"/>
        </w:rPr>
        <w:t>®</w:t>
      </w:r>
      <w:r w:rsidRPr="004223F0">
        <w:rPr>
          <w:i/>
          <w:lang w:bidi="en-US"/>
        </w:rPr>
        <w:t xml:space="preserve"> 13 and PPV23</w:t>
      </w:r>
    </w:p>
    <w:p w14:paraId="5E91E92B" w14:textId="77777777" w:rsidR="00CE7220" w:rsidRPr="00911C75" w:rsidRDefault="00D85DA1" w:rsidP="00CE7220">
      <w:pPr>
        <w:pStyle w:val="a4"/>
        <w:spacing w:before="0" w:beforeAutospacing="0" w:after="0" w:afterAutospacing="0" w:line="360" w:lineRule="auto"/>
        <w:jc w:val="both"/>
      </w:pPr>
      <w:r w:rsidRPr="004223F0">
        <w:rPr>
          <w:lang w:bidi="en-US"/>
        </w:rPr>
        <w:t>For immune memory formation, immunization against pneumococcal infection is preferable to be started with Prevenar</w:t>
      </w:r>
      <w:r w:rsidRPr="004223F0">
        <w:rPr>
          <w:vertAlign w:val="superscript"/>
          <w:lang w:bidi="en-US"/>
        </w:rPr>
        <w:t>®</w:t>
      </w:r>
      <w:r w:rsidRPr="004223F0">
        <w:rPr>
          <w:lang w:bidi="en-US"/>
        </w:rPr>
        <w:t xml:space="preserve"> 13 vaccine. The need for revaccination has not been determined. Persons in high-risk groups may be advised to introduce PPV23 to expand serotype coverage later. There is evidence from clinical studies of PPV23 vaccination in 1 year, as well as in 3.5 to 4 years after Prevenar</w:t>
      </w:r>
      <w:r w:rsidRPr="004223F0">
        <w:rPr>
          <w:vertAlign w:val="superscript"/>
          <w:lang w:bidi="en-US"/>
        </w:rPr>
        <w:t>®</w:t>
      </w:r>
      <w:r w:rsidRPr="004223F0">
        <w:rPr>
          <w:lang w:bidi="en-US"/>
        </w:rPr>
        <w:t xml:space="preserve"> 13 vaccination. At a 3.5–4 year vaccination interval, the immune response to PPV23 was higher without any changes in reactogenicity.</w:t>
      </w:r>
    </w:p>
    <w:p w14:paraId="1EAB0871" w14:textId="77777777" w:rsidR="00CE7220" w:rsidRPr="00911C75" w:rsidRDefault="003C5BC3" w:rsidP="00B507FB">
      <w:pPr>
        <w:pStyle w:val="a4"/>
        <w:spacing w:before="0" w:beforeAutospacing="0" w:after="0" w:afterAutospacing="0" w:line="360" w:lineRule="auto"/>
        <w:jc w:val="both"/>
      </w:pPr>
      <w:r w:rsidRPr="004223F0">
        <w:rPr>
          <w:lang w:bidi="en-US"/>
        </w:rPr>
        <w:t>In children vaccinated with Prevenar</w:t>
      </w:r>
      <w:r w:rsidRPr="004223F0">
        <w:rPr>
          <w:vertAlign w:val="superscript"/>
          <w:lang w:bidi="en-US"/>
        </w:rPr>
        <w:t>®</w:t>
      </w:r>
      <w:r w:rsidRPr="004223F0">
        <w:rPr>
          <w:lang w:bidi="en-US"/>
        </w:rPr>
        <w:t xml:space="preserve"> 13 and belonging to high risk groups (e. g., patients with sickle cell anemia, asplenia, HIV infection, chronic diseases or immune dysfunction), PPV23 is administered at an interval of at least 8 weeks. At the same time, the patients at high risk for pneumococcal infection (patients with sickle cell anemia or HIV infection), including those previously vaccinated with one or more doses of PPV23 may receive at least one dose of Prevenar</w:t>
      </w:r>
      <w:r w:rsidRPr="004223F0">
        <w:rPr>
          <w:vertAlign w:val="superscript"/>
          <w:lang w:bidi="en-US"/>
        </w:rPr>
        <w:t>®</w:t>
      </w:r>
      <w:r w:rsidRPr="004223F0">
        <w:rPr>
          <w:lang w:bidi="en-US"/>
        </w:rPr>
        <w:t xml:space="preserve"> 13. </w:t>
      </w:r>
    </w:p>
    <w:p w14:paraId="226F8728" w14:textId="77777777" w:rsidR="00D85DA1" w:rsidRPr="00911C75" w:rsidRDefault="00D85DA1" w:rsidP="00B507FB">
      <w:pPr>
        <w:pStyle w:val="a4"/>
        <w:spacing w:before="0" w:beforeAutospacing="0" w:after="0" w:afterAutospacing="0" w:line="360" w:lineRule="auto"/>
        <w:jc w:val="both"/>
      </w:pPr>
      <w:r w:rsidRPr="004223F0">
        <w:rPr>
          <w:lang w:bidi="en-US"/>
        </w:rPr>
        <w:t>The interval between PPV23 and Prevenar</w:t>
      </w:r>
      <w:r w:rsidRPr="004223F0">
        <w:rPr>
          <w:vertAlign w:val="superscript"/>
          <w:lang w:bidi="en-US"/>
        </w:rPr>
        <w:t>®</w:t>
      </w:r>
      <w:r w:rsidRPr="004223F0">
        <w:rPr>
          <w:lang w:bidi="en-US"/>
        </w:rPr>
        <w:t xml:space="preserve"> 13 injections should be selected in accordance with official guidelines. In a number of countries (such as the US), the recommended interval is at least 8 weeks (up to 12 months). If a patient has previously been vaccinated with PPV23, Prevenar</w:t>
      </w:r>
      <w:r w:rsidRPr="004223F0">
        <w:rPr>
          <w:vertAlign w:val="superscript"/>
          <w:lang w:bidi="en-US"/>
        </w:rPr>
        <w:t>®</w:t>
      </w:r>
      <w:r w:rsidRPr="004223F0">
        <w:rPr>
          <w:lang w:bidi="en-US"/>
        </w:rPr>
        <w:t xml:space="preserve"> 13 should be administered no earlier than 1 year later. In the Russian Federation, PCV13 is recommended to all adults who are 50 years old and patients at risk; PCV13 is administered first with possible subsequent revaccination with PPV23 at the intervals less than 8 weeks.</w:t>
      </w:r>
    </w:p>
    <w:p w14:paraId="2BA0D489" w14:textId="77777777" w:rsidR="00E45374" w:rsidRPr="00911C75" w:rsidRDefault="00E45374" w:rsidP="00B507FB">
      <w:pPr>
        <w:pStyle w:val="a4"/>
        <w:spacing w:before="0" w:beforeAutospacing="0" w:after="0" w:afterAutospacing="0" w:line="360" w:lineRule="auto"/>
        <w:jc w:val="both"/>
      </w:pPr>
      <w:r w:rsidRPr="004223F0">
        <w:rPr>
          <w:lang w:bidi="en-US"/>
        </w:rPr>
        <w:t>Prevenar</w:t>
      </w:r>
      <w:r w:rsidRPr="004223F0">
        <w:rPr>
          <w:vertAlign w:val="superscript"/>
          <w:lang w:bidi="en-US"/>
        </w:rPr>
        <w:t>®</w:t>
      </w:r>
      <w:r w:rsidRPr="004223F0">
        <w:rPr>
          <w:lang w:bidi="en-US"/>
        </w:rPr>
        <w:t xml:space="preserve"> 13 contains less than 1 mmol of sodium (23 mg) per dose, i. e., it is almost sodium free.</w:t>
      </w:r>
    </w:p>
    <w:p w14:paraId="54065ECA" w14:textId="77777777" w:rsidR="008E1282" w:rsidRPr="00911C75" w:rsidRDefault="008E1282" w:rsidP="00901713">
      <w:pPr>
        <w:spacing w:line="360" w:lineRule="auto"/>
        <w:jc w:val="both"/>
      </w:pPr>
      <w:r w:rsidRPr="004223F0">
        <w:rPr>
          <w:lang w:bidi="en-US"/>
        </w:rPr>
        <w:t>Within the specified shelf life, Prevenar</w:t>
      </w:r>
      <w:r w:rsidRPr="004223F0">
        <w:rPr>
          <w:vertAlign w:val="superscript"/>
          <w:lang w:bidi="en-US"/>
        </w:rPr>
        <w:t>®</w:t>
      </w:r>
      <w:r w:rsidRPr="004223F0">
        <w:rPr>
          <w:lang w:bidi="en-US"/>
        </w:rPr>
        <w:t xml:space="preserve"> 13 maintains stability for 4 days at the temperatures up to 25°C. At the end of this period, the drug should either be used immediately or returned to the fridge. This data is not an indication of storage and transport conditions, but may be the basis for the decision to use the vaccine in case of any temperature fluctuations during storage and transportation.</w:t>
      </w:r>
    </w:p>
    <w:p w14:paraId="136F4F1E" w14:textId="77777777" w:rsidR="00FA21F5" w:rsidRPr="00911C75" w:rsidRDefault="00FA21F5" w:rsidP="00FA21F5">
      <w:pPr>
        <w:spacing w:line="360" w:lineRule="auto"/>
        <w:jc w:val="both"/>
        <w:rPr>
          <w:b/>
          <w:i/>
        </w:rPr>
      </w:pPr>
      <w:r w:rsidRPr="008B2FD3">
        <w:rPr>
          <w:b/>
          <w:i/>
          <w:lang w:bidi="en-US"/>
        </w:rPr>
        <w:t>Effects on the ability to drive or use machines</w:t>
      </w:r>
    </w:p>
    <w:p w14:paraId="303ADC4F" w14:textId="77777777" w:rsidR="00F33817" w:rsidRPr="00911C75" w:rsidRDefault="00F33817" w:rsidP="00F33817">
      <w:pPr>
        <w:spacing w:line="360" w:lineRule="auto"/>
        <w:jc w:val="both"/>
      </w:pPr>
      <w:r w:rsidRPr="004223F0">
        <w:rPr>
          <w:lang w:bidi="en-US"/>
        </w:rPr>
        <w:lastRenderedPageBreak/>
        <w:t>Prevenar</w:t>
      </w:r>
      <w:r w:rsidRPr="004223F0">
        <w:rPr>
          <w:vertAlign w:val="superscript"/>
          <w:lang w:bidi="en-US"/>
        </w:rPr>
        <w:t>®</w:t>
      </w:r>
      <w:r w:rsidRPr="004223F0">
        <w:rPr>
          <w:lang w:bidi="en-US"/>
        </w:rPr>
        <w:t xml:space="preserve"> 13 has either no or negligible impact on the ability to drive and use machines. However, some of the reactions specified in “Side Effect” section may temporarily affect the ability to drive a vehicle and use potentially dangerous mechanisms.</w:t>
      </w:r>
    </w:p>
    <w:p w14:paraId="5D229532" w14:textId="77777777" w:rsidR="00986A4D" w:rsidRPr="00911C75" w:rsidRDefault="00986A4D" w:rsidP="00FA21F5">
      <w:pPr>
        <w:spacing w:line="360" w:lineRule="auto"/>
        <w:jc w:val="both"/>
      </w:pPr>
    </w:p>
    <w:p w14:paraId="12C2787B" w14:textId="77777777" w:rsidR="005C7850" w:rsidRPr="00911C75" w:rsidRDefault="005C7850" w:rsidP="005C7850">
      <w:pPr>
        <w:spacing w:line="360" w:lineRule="auto"/>
        <w:jc w:val="both"/>
        <w:rPr>
          <w:b/>
          <w:bCs/>
        </w:rPr>
      </w:pPr>
      <w:r w:rsidRPr="004223F0">
        <w:rPr>
          <w:b/>
          <w:lang w:bidi="en-US"/>
        </w:rPr>
        <w:t>Presentation</w:t>
      </w:r>
    </w:p>
    <w:p w14:paraId="4994CDF1" w14:textId="77777777" w:rsidR="00DE5099" w:rsidRPr="00911C75" w:rsidRDefault="00DE5099" w:rsidP="00DE5099">
      <w:pPr>
        <w:spacing w:line="360" w:lineRule="auto"/>
        <w:jc w:val="both"/>
      </w:pPr>
      <w:r w:rsidRPr="00DE5099">
        <w:rPr>
          <w:lang w:bidi="en-US"/>
        </w:rPr>
        <w:t>0.5 mg/dose suspension for intramuscular injection.</w:t>
      </w:r>
    </w:p>
    <w:p w14:paraId="6CAD666C" w14:textId="77777777" w:rsidR="00DE5099" w:rsidRPr="00911C75" w:rsidRDefault="00DE5099" w:rsidP="00DE5099">
      <w:pPr>
        <w:spacing w:line="360" w:lineRule="auto"/>
        <w:jc w:val="both"/>
      </w:pPr>
      <w:r w:rsidRPr="00DE5099">
        <w:rPr>
          <w:lang w:bidi="en-US"/>
        </w:rPr>
        <w:t>0.5 mL per a 1 mL syringe of clear colorless glass (type I).</w:t>
      </w:r>
    </w:p>
    <w:p w14:paraId="533F2F33" w14:textId="77777777" w:rsidR="00DE5099" w:rsidRPr="00911C75" w:rsidRDefault="00DE5099" w:rsidP="00DE5099">
      <w:pPr>
        <w:spacing w:line="360" w:lineRule="auto"/>
        <w:jc w:val="both"/>
      </w:pPr>
      <w:r w:rsidRPr="00DE5099">
        <w:rPr>
          <w:lang w:bidi="en-US"/>
        </w:rPr>
        <w:t>1 syringe and 1 sterile needle in plastic packaging sealed with plastic film. 1 plastic package with the package leaflet in an optionally tamper-evident cardboard pack.</w:t>
      </w:r>
    </w:p>
    <w:p w14:paraId="3A029C02" w14:textId="77777777" w:rsidR="00DE5099" w:rsidRPr="00911C75" w:rsidRDefault="00DE5099" w:rsidP="00DE5099">
      <w:pPr>
        <w:spacing w:line="360" w:lineRule="auto"/>
        <w:jc w:val="both"/>
      </w:pPr>
      <w:r w:rsidRPr="00DE5099">
        <w:rPr>
          <w:lang w:bidi="en-US"/>
        </w:rPr>
        <w:t>5 syringes in plastic packaging sealed with plastic film.</w:t>
      </w:r>
    </w:p>
    <w:p w14:paraId="1127C276" w14:textId="77777777" w:rsidR="005C7850" w:rsidRPr="00911C75" w:rsidRDefault="00DE5099" w:rsidP="00DE5099">
      <w:pPr>
        <w:spacing w:line="360" w:lineRule="auto"/>
        <w:jc w:val="both"/>
      </w:pPr>
      <w:r w:rsidRPr="00DE5099">
        <w:rPr>
          <w:lang w:bidi="en-US"/>
        </w:rPr>
        <w:t>2 plastic packages and 10 sterile needles with the package leaflet in an optionally tamper-evident cardboard pack.</w:t>
      </w:r>
    </w:p>
    <w:p w14:paraId="3D5BD227" w14:textId="77777777" w:rsidR="00A93A34" w:rsidRPr="00911C75" w:rsidRDefault="00A93A34" w:rsidP="005C7850">
      <w:pPr>
        <w:spacing w:line="360" w:lineRule="auto"/>
        <w:jc w:val="both"/>
      </w:pPr>
    </w:p>
    <w:p w14:paraId="0699FF3C" w14:textId="77777777" w:rsidR="00AF6E46" w:rsidRPr="00911C75" w:rsidRDefault="00AF6E46" w:rsidP="00AF6E46">
      <w:pPr>
        <w:spacing w:line="360" w:lineRule="auto"/>
        <w:jc w:val="both"/>
        <w:rPr>
          <w:b/>
        </w:rPr>
      </w:pPr>
      <w:r w:rsidRPr="004223F0">
        <w:rPr>
          <w:b/>
          <w:lang w:bidi="en-US"/>
        </w:rPr>
        <w:t>Storage and transportation conditions</w:t>
      </w:r>
    </w:p>
    <w:p w14:paraId="5CE144D6" w14:textId="20F8411F" w:rsidR="00AF6E46" w:rsidRPr="00911C75" w:rsidRDefault="00F27671" w:rsidP="00AF6E46">
      <w:pPr>
        <w:pStyle w:val="a4"/>
        <w:spacing w:before="0" w:beforeAutospacing="0" w:after="0" w:afterAutospacing="0" w:line="360" w:lineRule="auto"/>
        <w:jc w:val="both"/>
      </w:pPr>
      <w:r>
        <w:rPr>
          <w:lang w:bidi="en-US"/>
        </w:rPr>
        <w:t>At a t</w:t>
      </w:r>
      <w:r w:rsidR="00AF6E46" w:rsidRPr="004223F0">
        <w:rPr>
          <w:lang w:bidi="en-US"/>
        </w:rPr>
        <w:t>emperature</w:t>
      </w:r>
      <w:r w:rsidRPr="00F27671">
        <w:rPr>
          <w:lang w:bidi="en-US"/>
        </w:rPr>
        <w:t xml:space="preserve"> </w:t>
      </w:r>
      <w:r>
        <w:rPr>
          <w:lang w:bidi="en-US"/>
        </w:rPr>
        <w:t>of</w:t>
      </w:r>
      <w:r w:rsidR="00AF6E46" w:rsidRPr="004223F0">
        <w:rPr>
          <w:lang w:bidi="en-US"/>
        </w:rPr>
        <w:t xml:space="preserve"> +2°C to +8°C. Do not freeze.</w:t>
      </w:r>
    </w:p>
    <w:p w14:paraId="491AADBE" w14:textId="77777777" w:rsidR="00AF6E46" w:rsidRPr="00911C75" w:rsidRDefault="00AF6E46" w:rsidP="00AF6E46">
      <w:pPr>
        <w:pStyle w:val="a4"/>
        <w:spacing w:before="0" w:beforeAutospacing="0" w:after="0" w:afterAutospacing="0" w:line="360" w:lineRule="auto"/>
        <w:jc w:val="both"/>
      </w:pPr>
      <w:r w:rsidRPr="004223F0">
        <w:rPr>
          <w:lang w:bidi="en-US"/>
        </w:rPr>
        <w:t>Keep out of the reach of children.</w:t>
      </w:r>
    </w:p>
    <w:p w14:paraId="1F88305C" w14:textId="77777777" w:rsidR="00AF6E46" w:rsidRPr="00911C75" w:rsidRDefault="00AF6E46" w:rsidP="00AF6E46">
      <w:pPr>
        <w:pStyle w:val="a4"/>
        <w:spacing w:before="0" w:beforeAutospacing="0" w:after="0" w:afterAutospacing="0" w:line="360" w:lineRule="auto"/>
        <w:jc w:val="both"/>
      </w:pPr>
      <w:r>
        <w:rPr>
          <w:lang w:bidi="en-US"/>
        </w:rPr>
        <w:t>Transport at the temperature from +2 to +25°C. Do not freeze.</w:t>
      </w:r>
    </w:p>
    <w:p w14:paraId="46B40733" w14:textId="77777777" w:rsidR="00774E79" w:rsidRPr="00911C75" w:rsidRDefault="00AF6E46" w:rsidP="00AF6E46">
      <w:pPr>
        <w:pStyle w:val="a4"/>
        <w:spacing w:before="0" w:beforeAutospacing="0" w:after="0" w:afterAutospacing="0" w:line="360" w:lineRule="auto"/>
        <w:jc w:val="both"/>
      </w:pPr>
      <w:r w:rsidRPr="00924947">
        <w:rPr>
          <w:lang w:bidi="en-US"/>
        </w:rPr>
        <w:t>Transport at the temperatures above 2-8°C for no more than five days.</w:t>
      </w:r>
    </w:p>
    <w:p w14:paraId="0384F7D6" w14:textId="77777777" w:rsidR="00510D24" w:rsidRPr="00911C75" w:rsidRDefault="00510D24" w:rsidP="00E66E04">
      <w:pPr>
        <w:spacing w:line="360" w:lineRule="auto"/>
        <w:jc w:val="both"/>
        <w:rPr>
          <w:b/>
        </w:rPr>
      </w:pPr>
    </w:p>
    <w:p w14:paraId="1F248B16" w14:textId="77777777" w:rsidR="00E66E04" w:rsidRPr="00911C75" w:rsidRDefault="00E073E0" w:rsidP="008035C8">
      <w:pPr>
        <w:keepNext/>
        <w:spacing w:line="360" w:lineRule="auto"/>
        <w:jc w:val="both"/>
        <w:rPr>
          <w:b/>
        </w:rPr>
      </w:pPr>
      <w:r w:rsidRPr="004223F0">
        <w:rPr>
          <w:b/>
          <w:lang w:bidi="en-US"/>
        </w:rPr>
        <w:t>Shelf life</w:t>
      </w:r>
    </w:p>
    <w:p w14:paraId="57F88343" w14:textId="77777777" w:rsidR="00D4082D" w:rsidRPr="00911C75" w:rsidRDefault="00E073E0" w:rsidP="00F215D8">
      <w:pPr>
        <w:pStyle w:val="a4"/>
        <w:spacing w:before="0" w:beforeAutospacing="0" w:after="0" w:afterAutospacing="0" w:line="360" w:lineRule="auto"/>
        <w:jc w:val="both"/>
        <w:rPr>
          <w:bCs/>
        </w:rPr>
      </w:pPr>
      <w:r w:rsidRPr="004223F0">
        <w:rPr>
          <w:lang w:bidi="en-US"/>
        </w:rPr>
        <w:t xml:space="preserve">3 years. </w:t>
      </w:r>
    </w:p>
    <w:p w14:paraId="73D08AFC" w14:textId="77777777" w:rsidR="00E073E0" w:rsidRPr="00911C75" w:rsidRDefault="00E073E0" w:rsidP="00F215D8">
      <w:pPr>
        <w:pStyle w:val="a4"/>
        <w:spacing w:before="0" w:beforeAutospacing="0" w:after="0" w:afterAutospacing="0" w:line="360" w:lineRule="auto"/>
        <w:jc w:val="both"/>
      </w:pPr>
      <w:r w:rsidRPr="004223F0">
        <w:rPr>
          <w:lang w:bidi="en-US"/>
        </w:rPr>
        <w:t>Do not use after the expiry date printed on the package.</w:t>
      </w:r>
    </w:p>
    <w:p w14:paraId="2270EA19" w14:textId="77777777" w:rsidR="00323ABE" w:rsidRPr="00911C75" w:rsidRDefault="00323ABE" w:rsidP="00F215D8">
      <w:pPr>
        <w:pStyle w:val="a4"/>
        <w:spacing w:before="0" w:beforeAutospacing="0" w:after="0" w:afterAutospacing="0" w:line="360" w:lineRule="auto"/>
        <w:jc w:val="both"/>
      </w:pPr>
    </w:p>
    <w:p w14:paraId="60D180FF" w14:textId="77777777" w:rsidR="00E66E04" w:rsidRPr="00911C75" w:rsidRDefault="00E073E0" w:rsidP="00E66E04">
      <w:pPr>
        <w:spacing w:line="360" w:lineRule="auto"/>
        <w:jc w:val="both"/>
        <w:rPr>
          <w:b/>
        </w:rPr>
      </w:pPr>
      <w:r w:rsidRPr="004223F0">
        <w:rPr>
          <w:b/>
          <w:lang w:bidi="en-US"/>
        </w:rPr>
        <w:t>Conditions of release</w:t>
      </w:r>
    </w:p>
    <w:p w14:paraId="604E8E27" w14:textId="77777777" w:rsidR="00E073E0" w:rsidRPr="00911C75" w:rsidRDefault="00E073E0" w:rsidP="00F215D8">
      <w:pPr>
        <w:pStyle w:val="a4"/>
        <w:spacing w:before="0" w:beforeAutospacing="0" w:after="0" w:afterAutospacing="0" w:line="360" w:lineRule="auto"/>
        <w:jc w:val="both"/>
      </w:pPr>
      <w:r w:rsidRPr="004223F0">
        <w:rPr>
          <w:lang w:bidi="en-US"/>
        </w:rPr>
        <w:t xml:space="preserve">1 syringe packaging upon prescription </w:t>
      </w:r>
    </w:p>
    <w:p w14:paraId="40B04E00" w14:textId="77777777" w:rsidR="00E073E0" w:rsidRPr="00911C75" w:rsidRDefault="00E073E0" w:rsidP="00F215D8">
      <w:pPr>
        <w:pStyle w:val="a4"/>
        <w:spacing w:before="0" w:beforeAutospacing="0" w:after="0" w:afterAutospacing="0" w:line="360" w:lineRule="auto"/>
        <w:jc w:val="both"/>
      </w:pPr>
      <w:r w:rsidRPr="004223F0">
        <w:rPr>
          <w:lang w:bidi="en-US"/>
        </w:rPr>
        <w:t>10 syringes packaging for health care institutions.</w:t>
      </w:r>
    </w:p>
    <w:p w14:paraId="46AD3C0D" w14:textId="77777777" w:rsidR="00E66E04" w:rsidRPr="00911C75" w:rsidRDefault="00E66E04" w:rsidP="00E66E04">
      <w:pPr>
        <w:spacing w:line="360" w:lineRule="auto"/>
        <w:jc w:val="both"/>
        <w:rPr>
          <w:b/>
        </w:rPr>
      </w:pPr>
    </w:p>
    <w:p w14:paraId="7EE5A7B2" w14:textId="77777777" w:rsidR="00E66E04" w:rsidRPr="00911C75" w:rsidRDefault="00E073E0" w:rsidP="00E66E04">
      <w:pPr>
        <w:spacing w:line="360" w:lineRule="auto"/>
        <w:jc w:val="both"/>
        <w:rPr>
          <w:b/>
        </w:rPr>
      </w:pPr>
      <w:r w:rsidRPr="004223F0">
        <w:rPr>
          <w:b/>
          <w:lang w:bidi="en-US"/>
        </w:rPr>
        <w:t>Manufacturer</w:t>
      </w:r>
    </w:p>
    <w:p w14:paraId="4B5F43DC" w14:textId="77777777" w:rsidR="00DE5099" w:rsidRPr="00911C75" w:rsidRDefault="00DE5099" w:rsidP="00DE5099">
      <w:pPr>
        <w:spacing w:line="360" w:lineRule="auto"/>
        <w:jc w:val="both"/>
        <w:rPr>
          <w:u w:val="single"/>
        </w:rPr>
      </w:pPr>
      <w:r w:rsidRPr="00DE5099">
        <w:rPr>
          <w:u w:val="single"/>
          <w:lang w:bidi="en-US"/>
        </w:rPr>
        <w:t>Manufactured by:</w:t>
      </w:r>
    </w:p>
    <w:p w14:paraId="20BB33DA" w14:textId="77777777" w:rsidR="00DE5099" w:rsidRPr="00911C75" w:rsidRDefault="00DE5099" w:rsidP="00DE5099">
      <w:pPr>
        <w:spacing w:line="360" w:lineRule="auto"/>
        <w:jc w:val="both"/>
      </w:pPr>
      <w:r w:rsidRPr="00DE5099">
        <w:rPr>
          <w:lang w:bidi="en-US"/>
        </w:rPr>
        <w:t>1) Pfizer Ireland Pharmaceuticals, Ireland</w:t>
      </w:r>
    </w:p>
    <w:p w14:paraId="48C0FF5F" w14:textId="77777777" w:rsidR="00DE5099" w:rsidRPr="00911C75" w:rsidRDefault="00DE5099" w:rsidP="00DE5099">
      <w:pPr>
        <w:spacing w:line="360" w:lineRule="auto"/>
        <w:jc w:val="both"/>
      </w:pPr>
      <w:r w:rsidRPr="00DE5099">
        <w:rPr>
          <w:lang w:bidi="en-US"/>
        </w:rPr>
        <w:t>Grange Castle Business Park, Clondalkin, Dublin 22, Ireland</w:t>
      </w:r>
    </w:p>
    <w:p w14:paraId="2F11BCCC" w14:textId="77777777" w:rsidR="00DE5099" w:rsidRPr="00911C75" w:rsidRDefault="00DE5099" w:rsidP="00F27671">
      <w:pPr>
        <w:keepNext/>
        <w:spacing w:line="360" w:lineRule="auto"/>
        <w:jc w:val="both"/>
      </w:pPr>
      <w:r w:rsidRPr="00DE5099">
        <w:rPr>
          <w:lang w:bidi="en-US"/>
        </w:rPr>
        <w:t>2) NPO Petrov</w:t>
      </w:r>
      <w:bookmarkStart w:id="0" w:name="_GoBack"/>
      <w:bookmarkEnd w:id="0"/>
      <w:r w:rsidRPr="00DE5099">
        <w:rPr>
          <w:lang w:bidi="en-US"/>
        </w:rPr>
        <w:t>ax Pharm LLC, Russian Federation</w:t>
      </w:r>
    </w:p>
    <w:p w14:paraId="5684BD6B" w14:textId="77777777" w:rsidR="00DE5099" w:rsidRPr="00911C75" w:rsidRDefault="00DE5099" w:rsidP="00DE5099">
      <w:pPr>
        <w:spacing w:line="360" w:lineRule="auto"/>
        <w:jc w:val="both"/>
      </w:pPr>
      <w:r w:rsidRPr="00DE5099">
        <w:rPr>
          <w:lang w:bidi="en-US"/>
        </w:rPr>
        <w:t>1 Sosnovaya st., Pokrov village, Podolsk, Moscow region 142143</w:t>
      </w:r>
    </w:p>
    <w:p w14:paraId="3D638D82" w14:textId="77777777" w:rsidR="00DE5099" w:rsidRPr="00911C75" w:rsidRDefault="00DE5099" w:rsidP="00DE5099">
      <w:pPr>
        <w:spacing w:line="360" w:lineRule="auto"/>
        <w:jc w:val="both"/>
        <w:rPr>
          <w:u w:val="single"/>
        </w:rPr>
      </w:pPr>
      <w:r w:rsidRPr="00DE5099">
        <w:rPr>
          <w:u w:val="single"/>
          <w:lang w:bidi="en-US"/>
        </w:rPr>
        <w:t>Packed:</w:t>
      </w:r>
    </w:p>
    <w:p w14:paraId="2F3893B0" w14:textId="77777777" w:rsidR="00DE5099" w:rsidRPr="00911C75" w:rsidRDefault="00DE5099" w:rsidP="00DE5099">
      <w:pPr>
        <w:spacing w:line="360" w:lineRule="auto"/>
        <w:jc w:val="both"/>
      </w:pPr>
      <w:r w:rsidRPr="00DE5099">
        <w:rPr>
          <w:lang w:bidi="en-US"/>
        </w:rPr>
        <w:t>1) NPO Petrovax Pharm LLC, Russian Federation</w:t>
      </w:r>
    </w:p>
    <w:p w14:paraId="28868A26" w14:textId="77777777" w:rsidR="00DE5099" w:rsidRPr="00911C75" w:rsidRDefault="00DE5099" w:rsidP="00DE5099">
      <w:pPr>
        <w:spacing w:line="360" w:lineRule="auto"/>
        <w:jc w:val="both"/>
      </w:pPr>
      <w:r w:rsidRPr="00DE5099">
        <w:rPr>
          <w:lang w:bidi="en-US"/>
        </w:rPr>
        <w:lastRenderedPageBreak/>
        <w:t>1 Sosnovaya st., Pokrov village, Podolsk, Moscow region 142143</w:t>
      </w:r>
    </w:p>
    <w:p w14:paraId="4C6EAB05" w14:textId="77777777" w:rsidR="00DE5099" w:rsidRPr="00911C75" w:rsidRDefault="00DE5099" w:rsidP="00DE5099">
      <w:pPr>
        <w:spacing w:line="360" w:lineRule="auto"/>
        <w:jc w:val="both"/>
      </w:pPr>
      <w:r w:rsidRPr="00DE5099">
        <w:rPr>
          <w:lang w:bidi="en-US"/>
        </w:rPr>
        <w:t>2) Pfizer Manufacturing Belgium NV, Belgium</w:t>
      </w:r>
    </w:p>
    <w:p w14:paraId="4CA3C924" w14:textId="77777777" w:rsidR="00E073E0" w:rsidRPr="00911C75" w:rsidRDefault="00DE5099" w:rsidP="00DE5099">
      <w:pPr>
        <w:spacing w:line="360" w:lineRule="auto"/>
        <w:jc w:val="both"/>
      </w:pPr>
      <w:r w:rsidRPr="00DE5099">
        <w:rPr>
          <w:lang w:bidi="en-US"/>
        </w:rPr>
        <w:t>12 Rijksweg, 2870 Puurs, Belgium</w:t>
      </w:r>
    </w:p>
    <w:p w14:paraId="42683A40" w14:textId="77777777" w:rsidR="005C7850" w:rsidRPr="00911C75" w:rsidRDefault="005C7850" w:rsidP="005C7850">
      <w:pPr>
        <w:spacing w:line="360" w:lineRule="auto"/>
        <w:jc w:val="both"/>
      </w:pPr>
    </w:p>
    <w:p w14:paraId="338F90BA" w14:textId="77777777" w:rsidR="00E073E0" w:rsidRPr="004223F0" w:rsidRDefault="00E073E0" w:rsidP="00DA109E">
      <w:pPr>
        <w:pStyle w:val="a4"/>
        <w:spacing w:before="0" w:beforeAutospacing="0" w:after="0" w:afterAutospacing="0" w:line="360" w:lineRule="auto"/>
        <w:jc w:val="both"/>
        <w:rPr>
          <w:i/>
          <w:lang w:val="ru-RU"/>
        </w:rPr>
      </w:pPr>
      <w:r w:rsidRPr="004223F0">
        <w:rPr>
          <w:i/>
          <w:lang w:bidi="en-US"/>
        </w:rPr>
        <w:t>Address for consumer claims:</w:t>
      </w:r>
    </w:p>
    <w:p w14:paraId="25B0037E" w14:textId="77777777" w:rsidR="00792192" w:rsidRPr="004223F0" w:rsidRDefault="00F33817">
      <w:pPr>
        <w:pStyle w:val="afd"/>
        <w:numPr>
          <w:ilvl w:val="0"/>
          <w:numId w:val="13"/>
        </w:numPr>
        <w:autoSpaceDE w:val="0"/>
        <w:autoSpaceDN w:val="0"/>
        <w:spacing w:line="336" w:lineRule="auto"/>
        <w:jc w:val="both"/>
      </w:pPr>
      <w:r w:rsidRPr="004223F0">
        <w:rPr>
          <w:lang w:val="en-US" w:bidi="en-US"/>
        </w:rPr>
        <w:t xml:space="preserve">Pfizer Innovation LLC </w:t>
      </w:r>
    </w:p>
    <w:p w14:paraId="6C82BD08" w14:textId="77777777" w:rsidR="00854105" w:rsidRPr="00911C75" w:rsidRDefault="004E589C" w:rsidP="00854105">
      <w:pPr>
        <w:autoSpaceDE w:val="0"/>
        <w:autoSpaceDN w:val="0"/>
        <w:spacing w:line="336" w:lineRule="auto"/>
        <w:ind w:right="-1"/>
        <w:jc w:val="both"/>
      </w:pPr>
      <w:r w:rsidRPr="004E589C">
        <w:rPr>
          <w:lang w:bidi="en-US"/>
        </w:rPr>
        <w:t xml:space="preserve">Naberezhnaya Tower BC (Block C), 10 Presnenskaya Emb., 123112 Moscow </w:t>
      </w:r>
    </w:p>
    <w:p w14:paraId="6E9AC7F3" w14:textId="77777777" w:rsidR="00792192" w:rsidRPr="004223F0" w:rsidRDefault="00E073E0" w:rsidP="00854105">
      <w:pPr>
        <w:autoSpaceDE w:val="0"/>
        <w:autoSpaceDN w:val="0"/>
        <w:spacing w:line="336" w:lineRule="auto"/>
        <w:jc w:val="both"/>
      </w:pPr>
      <w:r w:rsidRPr="004223F0">
        <w:rPr>
          <w:lang w:bidi="en-US"/>
        </w:rPr>
        <w:t>Phone:  (495) 287-5000, Fax: (495) 287-5300</w:t>
      </w:r>
    </w:p>
    <w:p w14:paraId="42F5B2C8" w14:textId="77777777" w:rsidR="00E073E0" w:rsidRPr="00911C75" w:rsidRDefault="00E66E04" w:rsidP="00DA109E">
      <w:pPr>
        <w:pStyle w:val="a4"/>
        <w:numPr>
          <w:ilvl w:val="0"/>
          <w:numId w:val="13"/>
        </w:numPr>
        <w:spacing w:before="0" w:beforeAutospacing="0" w:after="0" w:afterAutospacing="0" w:line="360" w:lineRule="auto"/>
        <w:jc w:val="both"/>
      </w:pPr>
      <w:r w:rsidRPr="004223F0">
        <w:rPr>
          <w:lang w:bidi="en-US"/>
        </w:rPr>
        <w:t>NPO Petrovax Pharm LLC, Russian Federation</w:t>
      </w:r>
    </w:p>
    <w:p w14:paraId="66D88616" w14:textId="77777777" w:rsidR="00E073E0" w:rsidRPr="00911C75" w:rsidRDefault="00E073E0" w:rsidP="00DA109E">
      <w:pPr>
        <w:pStyle w:val="a4"/>
        <w:spacing w:before="0" w:beforeAutospacing="0" w:after="0" w:afterAutospacing="0" w:line="360" w:lineRule="auto"/>
        <w:ind w:left="32"/>
        <w:jc w:val="both"/>
      </w:pPr>
      <w:r w:rsidRPr="004223F0">
        <w:rPr>
          <w:lang w:bidi="en-US"/>
        </w:rPr>
        <w:t>1 Sosnovaya st., Pokrov village, Podolsk, Moscow region 142143</w:t>
      </w:r>
    </w:p>
    <w:p w14:paraId="1B9CD542" w14:textId="77777777" w:rsidR="00731DFF" w:rsidRPr="00911C75" w:rsidRDefault="00E073E0">
      <w:pPr>
        <w:pStyle w:val="a4"/>
        <w:spacing w:before="0" w:beforeAutospacing="0" w:after="0" w:afterAutospacing="0" w:line="360" w:lineRule="auto"/>
        <w:ind w:left="32"/>
        <w:jc w:val="both"/>
      </w:pPr>
      <w:r w:rsidRPr="004223F0">
        <w:rPr>
          <w:lang w:bidi="en-US"/>
        </w:rPr>
        <w:t xml:space="preserve">Phone/Fax: (495) 926-2107, e-mail: </w:t>
      </w:r>
      <w:hyperlink r:id="rId8" w:history="1">
        <w:r w:rsidR="00B345B3" w:rsidRPr="008035C8">
          <w:rPr>
            <w:rStyle w:val="a3"/>
            <w:color w:val="auto"/>
            <w:u w:val="none"/>
            <w:lang w:bidi="en-US"/>
          </w:rPr>
          <w:t>info@petrovax.ru</w:t>
        </w:r>
      </w:hyperlink>
    </w:p>
    <w:p w14:paraId="6AAE0197" w14:textId="77777777" w:rsidR="001A2E48" w:rsidRPr="00911C75" w:rsidRDefault="00F235F3">
      <w:pPr>
        <w:pStyle w:val="a4"/>
        <w:numPr>
          <w:ilvl w:val="0"/>
          <w:numId w:val="13"/>
        </w:numPr>
        <w:spacing w:before="0" w:beforeAutospacing="0" w:after="0" w:afterAutospacing="0" w:line="360" w:lineRule="auto"/>
        <w:jc w:val="both"/>
      </w:pPr>
      <w:r w:rsidRPr="004223F0">
        <w:rPr>
          <w:lang w:bidi="en-US"/>
        </w:rPr>
        <w:t xml:space="preserve">Federal Service for Surveillance in Healthcare of the Russian Federation: </w:t>
      </w:r>
    </w:p>
    <w:p w14:paraId="307FFC09" w14:textId="77777777" w:rsidR="00F235F3" w:rsidRPr="00911C75" w:rsidRDefault="00F235F3" w:rsidP="00F235F3">
      <w:pPr>
        <w:pStyle w:val="a4"/>
        <w:spacing w:before="0" w:beforeAutospacing="0" w:after="0" w:afterAutospacing="0" w:line="360" w:lineRule="auto"/>
        <w:ind w:left="32"/>
        <w:jc w:val="both"/>
      </w:pPr>
      <w:r w:rsidRPr="004223F0">
        <w:rPr>
          <w:lang w:bidi="en-US"/>
        </w:rPr>
        <w:t>Bldg. 1, 4 Slavyanskaya square, 109074 Moscow</w:t>
      </w:r>
    </w:p>
    <w:p w14:paraId="38F4BA9D" w14:textId="77777777" w:rsidR="001A2E48" w:rsidRPr="00911C75" w:rsidRDefault="00F235F3">
      <w:pPr>
        <w:pStyle w:val="a4"/>
        <w:spacing w:before="0" w:beforeAutospacing="0" w:after="0" w:afterAutospacing="0" w:line="360" w:lineRule="auto"/>
        <w:jc w:val="both"/>
      </w:pPr>
      <w:r w:rsidRPr="004223F0">
        <w:rPr>
          <w:lang w:bidi="en-US"/>
        </w:rPr>
        <w:t>Phone: (495) 698-4538; (499) 578-0230</w:t>
      </w:r>
    </w:p>
    <w:p w14:paraId="1FA7EE9B" w14:textId="77777777" w:rsidR="00F235F3" w:rsidRPr="00911C75" w:rsidRDefault="00F235F3">
      <w:pPr>
        <w:spacing w:line="360" w:lineRule="auto"/>
      </w:pPr>
    </w:p>
    <w:p w14:paraId="0879746C" w14:textId="77777777" w:rsidR="00B345B3" w:rsidRPr="00911C75" w:rsidRDefault="00B345B3" w:rsidP="009975DB">
      <w:pPr>
        <w:spacing w:line="360" w:lineRule="auto"/>
        <w:rPr>
          <w:sz w:val="22"/>
          <w:szCs w:val="22"/>
        </w:rPr>
      </w:pPr>
    </w:p>
    <w:sectPr w:rsidR="00B345B3" w:rsidRPr="00911C75" w:rsidSect="00E16861">
      <w:footerReference w:type="even"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7BB2" w14:textId="77777777" w:rsidR="00EC06B5" w:rsidRDefault="00EC06B5">
      <w:r>
        <w:separator/>
      </w:r>
    </w:p>
  </w:endnote>
  <w:endnote w:type="continuationSeparator" w:id="0">
    <w:p w14:paraId="29C9AE0F" w14:textId="77777777" w:rsidR="00EC06B5" w:rsidRDefault="00E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9463" w14:textId="77777777" w:rsidR="00EA597A" w:rsidRDefault="00EA597A" w:rsidP="006C56C7">
    <w:pPr>
      <w:pStyle w:val="a5"/>
      <w:framePr w:wrap="around" w:vAnchor="text" w:hAnchor="margin" w:xAlign="right" w:y="1"/>
      <w:rPr>
        <w:rStyle w:val="a7"/>
      </w:rPr>
    </w:pPr>
    <w:r>
      <w:rPr>
        <w:rStyle w:val="a7"/>
        <w:lang w:bidi="en-US"/>
      </w:rPr>
      <w:fldChar w:fldCharType="begin"/>
    </w:r>
    <w:r>
      <w:rPr>
        <w:rStyle w:val="a7"/>
        <w:lang w:bidi="en-US"/>
      </w:rPr>
      <w:instrText xml:space="preserve">PAGE  </w:instrText>
    </w:r>
    <w:r>
      <w:rPr>
        <w:rStyle w:val="a7"/>
        <w:lang w:bidi="en-US"/>
      </w:rPr>
      <w:fldChar w:fldCharType="separate"/>
    </w:r>
    <w:r>
      <w:rPr>
        <w:rStyle w:val="a7"/>
        <w:noProof/>
        <w:lang w:bidi="en-US"/>
      </w:rPr>
      <w:t>11</w:t>
    </w:r>
    <w:r>
      <w:rPr>
        <w:rStyle w:val="a7"/>
        <w:lang w:bidi="en-US"/>
      </w:rPr>
      <w:fldChar w:fldCharType="end"/>
    </w:r>
  </w:p>
  <w:p w14:paraId="39C38A35" w14:textId="77777777" w:rsidR="00EA597A" w:rsidRDefault="00EA597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FCAB" w14:textId="7BB75DAF" w:rsidR="00EA597A" w:rsidRPr="00B1566F" w:rsidRDefault="00EA597A" w:rsidP="006C56C7">
    <w:pPr>
      <w:pStyle w:val="a5"/>
      <w:tabs>
        <w:tab w:val="clear" w:pos="9689"/>
        <w:tab w:val="right" w:pos="9360"/>
      </w:tabs>
      <w:ind w:right="360"/>
      <w:rPr>
        <w:sz w:val="22"/>
        <w:szCs w:val="22"/>
        <w:lang w:val="pt-BR"/>
      </w:rPr>
    </w:pPr>
    <w:r w:rsidRPr="00B1566F">
      <w:rPr>
        <w:sz w:val="22"/>
        <w:lang w:bidi="en-US"/>
      </w:rPr>
      <w:tab/>
    </w:r>
    <w:r w:rsidRPr="00B1566F">
      <w:rPr>
        <w:sz w:val="22"/>
        <w:lang w:bidi="en-US"/>
      </w:rPr>
      <w:tab/>
      <w:t xml:space="preserve">Page </w:t>
    </w:r>
    <w:r w:rsidRPr="00B1566F">
      <w:rPr>
        <w:rStyle w:val="a7"/>
        <w:sz w:val="22"/>
        <w:lang w:bidi="en-US"/>
      </w:rPr>
      <w:fldChar w:fldCharType="begin"/>
    </w:r>
    <w:r w:rsidRPr="002A2464">
      <w:rPr>
        <w:rStyle w:val="a7"/>
        <w:sz w:val="22"/>
        <w:lang w:bidi="en-US"/>
      </w:rPr>
      <w:instrText xml:space="preserve"> </w:instrText>
    </w:r>
    <w:r w:rsidRPr="00B1566F">
      <w:rPr>
        <w:rStyle w:val="a7"/>
        <w:sz w:val="22"/>
        <w:lang w:bidi="en-US"/>
      </w:rPr>
      <w:instrText>PAGE</w:instrText>
    </w:r>
    <w:r w:rsidRPr="002A2464">
      <w:rPr>
        <w:rStyle w:val="a7"/>
        <w:sz w:val="22"/>
        <w:lang w:bidi="en-US"/>
      </w:rPr>
      <w:instrText xml:space="preserve"> </w:instrText>
    </w:r>
    <w:r w:rsidRPr="00B1566F">
      <w:rPr>
        <w:rStyle w:val="a7"/>
        <w:sz w:val="22"/>
        <w:lang w:bidi="en-US"/>
      </w:rPr>
      <w:fldChar w:fldCharType="separate"/>
    </w:r>
    <w:r w:rsidR="00F27671">
      <w:rPr>
        <w:rStyle w:val="a7"/>
        <w:noProof/>
        <w:sz w:val="22"/>
        <w:lang w:bidi="en-US"/>
      </w:rPr>
      <w:t>16</w:t>
    </w:r>
    <w:r w:rsidRPr="00B1566F">
      <w:rPr>
        <w:rStyle w:val="a7"/>
        <w:sz w:val="22"/>
        <w:lang w:bidi="en-US"/>
      </w:rPr>
      <w:fldChar w:fldCharType="end"/>
    </w:r>
    <w:r w:rsidRPr="00B1566F">
      <w:rPr>
        <w:sz w:val="22"/>
        <w:lang w:bidi="en-US"/>
      </w:rPr>
      <w:t xml:space="preserve"> </w:t>
    </w:r>
    <w:r w:rsidRPr="00B1566F">
      <w:rPr>
        <w:rStyle w:val="a7"/>
        <w:sz w:val="22"/>
        <w:lang w:bidi="en-US"/>
      </w:rPr>
      <w:t>of</w:t>
    </w:r>
    <w:r w:rsidR="00DC191A">
      <w:rPr>
        <w:rStyle w:val="a7"/>
        <w:sz w:val="22"/>
        <w:lang w:bidi="en-US"/>
      </w:rPr>
      <w:t xml:space="preserve"> </w:t>
    </w:r>
    <w:r w:rsidRPr="00B1566F">
      <w:rPr>
        <w:rStyle w:val="a7"/>
        <w:sz w:val="22"/>
        <w:lang w:bidi="en-US"/>
      </w:rPr>
      <w:fldChar w:fldCharType="begin"/>
    </w:r>
    <w:r w:rsidRPr="00B1566F">
      <w:rPr>
        <w:rStyle w:val="a7"/>
        <w:sz w:val="22"/>
        <w:lang w:bidi="en-US"/>
      </w:rPr>
      <w:instrText xml:space="preserve"> NUMPAGES </w:instrText>
    </w:r>
    <w:r w:rsidRPr="00B1566F">
      <w:rPr>
        <w:rStyle w:val="a7"/>
        <w:sz w:val="22"/>
        <w:lang w:bidi="en-US"/>
      </w:rPr>
      <w:fldChar w:fldCharType="separate"/>
    </w:r>
    <w:r w:rsidR="00F27671">
      <w:rPr>
        <w:rStyle w:val="a7"/>
        <w:noProof/>
        <w:sz w:val="22"/>
        <w:lang w:bidi="en-US"/>
      </w:rPr>
      <w:t>16</w:t>
    </w:r>
    <w:r w:rsidRPr="00B1566F">
      <w:rPr>
        <w:rStyle w:val="a7"/>
        <w:sz w:val="22"/>
        <w:lang w:bidi="en-US"/>
      </w:rPr>
      <w:fldChar w:fldCharType="end"/>
    </w:r>
    <w:r w:rsidRPr="00B1566F">
      <w:rPr>
        <w:sz w:val="22"/>
        <w:lang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E384" w14:textId="77777777" w:rsidR="00EC06B5" w:rsidRDefault="00EC06B5">
      <w:r>
        <w:separator/>
      </w:r>
    </w:p>
  </w:footnote>
  <w:footnote w:type="continuationSeparator" w:id="0">
    <w:p w14:paraId="1CE7FBD6" w14:textId="77777777" w:rsidR="00EC06B5" w:rsidRDefault="00EC0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36C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904FDC"/>
    <w:multiLevelType w:val="hybridMultilevel"/>
    <w:tmpl w:val="EE1EB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C54CC"/>
    <w:multiLevelType w:val="hybridMultilevel"/>
    <w:tmpl w:val="CFD4A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E11287"/>
    <w:multiLevelType w:val="singleLevel"/>
    <w:tmpl w:val="65AABFB8"/>
    <w:lvl w:ilvl="0">
      <w:start w:val="1"/>
      <w:numFmt w:val="bullet"/>
      <w:lvlText w:val=""/>
      <w:lvlJc w:val="left"/>
      <w:pPr>
        <w:tabs>
          <w:tab w:val="num" w:pos="567"/>
        </w:tabs>
        <w:ind w:left="567" w:hanging="567"/>
      </w:pPr>
      <w:rPr>
        <w:rFonts w:ascii="Symbol" w:hAnsi="Symbol" w:hint="default"/>
        <w:sz w:val="20"/>
      </w:rPr>
    </w:lvl>
  </w:abstractNum>
  <w:abstractNum w:abstractNumId="4" w15:restartNumberingAfterBreak="0">
    <w:nsid w:val="483D0B44"/>
    <w:multiLevelType w:val="hybridMultilevel"/>
    <w:tmpl w:val="58D66892"/>
    <w:lvl w:ilvl="0" w:tplc="914A3602">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5" w15:restartNumberingAfterBreak="0">
    <w:nsid w:val="5A427035"/>
    <w:multiLevelType w:val="hybridMultilevel"/>
    <w:tmpl w:val="21786294"/>
    <w:lvl w:ilvl="0" w:tplc="69D6D1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E51CE"/>
    <w:multiLevelType w:val="hybridMultilevel"/>
    <w:tmpl w:val="08C6E456"/>
    <w:lvl w:ilvl="0" w:tplc="735037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B646C"/>
    <w:multiLevelType w:val="hybridMultilevel"/>
    <w:tmpl w:val="FA34264A"/>
    <w:lvl w:ilvl="0" w:tplc="04190001">
      <w:start w:val="5"/>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7"/>
  </w:num>
  <w:num w:numId="11">
    <w:abstractNumId w:val="6"/>
  </w:num>
  <w:num w:numId="12">
    <w:abstractNumId w:val="3"/>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02"/>
    <w:rsid w:val="000001EC"/>
    <w:rsid w:val="000008F9"/>
    <w:rsid w:val="00000BA0"/>
    <w:rsid w:val="00001E3D"/>
    <w:rsid w:val="0000205F"/>
    <w:rsid w:val="0000244E"/>
    <w:rsid w:val="00002D3D"/>
    <w:rsid w:val="000049E2"/>
    <w:rsid w:val="00006FE3"/>
    <w:rsid w:val="00010F65"/>
    <w:rsid w:val="00012BE2"/>
    <w:rsid w:val="000133AF"/>
    <w:rsid w:val="00013730"/>
    <w:rsid w:val="00013B22"/>
    <w:rsid w:val="00013F03"/>
    <w:rsid w:val="00014BA8"/>
    <w:rsid w:val="00015473"/>
    <w:rsid w:val="00015988"/>
    <w:rsid w:val="0002141D"/>
    <w:rsid w:val="000234E7"/>
    <w:rsid w:val="00023974"/>
    <w:rsid w:val="00023DFF"/>
    <w:rsid w:val="00025F95"/>
    <w:rsid w:val="000304DB"/>
    <w:rsid w:val="00032DED"/>
    <w:rsid w:val="00032FE1"/>
    <w:rsid w:val="00034336"/>
    <w:rsid w:val="00034CF4"/>
    <w:rsid w:val="000355D6"/>
    <w:rsid w:val="00037348"/>
    <w:rsid w:val="00037871"/>
    <w:rsid w:val="00037AFD"/>
    <w:rsid w:val="00042000"/>
    <w:rsid w:val="00042F69"/>
    <w:rsid w:val="00044A70"/>
    <w:rsid w:val="00045038"/>
    <w:rsid w:val="00045CE6"/>
    <w:rsid w:val="00046323"/>
    <w:rsid w:val="000474DC"/>
    <w:rsid w:val="00047761"/>
    <w:rsid w:val="000519F7"/>
    <w:rsid w:val="00051A34"/>
    <w:rsid w:val="0005296E"/>
    <w:rsid w:val="0005503B"/>
    <w:rsid w:val="00060B19"/>
    <w:rsid w:val="00064045"/>
    <w:rsid w:val="00066542"/>
    <w:rsid w:val="0007042F"/>
    <w:rsid w:val="0007177B"/>
    <w:rsid w:val="00073A3A"/>
    <w:rsid w:val="000747AD"/>
    <w:rsid w:val="00075AE9"/>
    <w:rsid w:val="000774CD"/>
    <w:rsid w:val="00080022"/>
    <w:rsid w:val="00080C41"/>
    <w:rsid w:val="00080F93"/>
    <w:rsid w:val="000813C8"/>
    <w:rsid w:val="000813F6"/>
    <w:rsid w:val="0008180C"/>
    <w:rsid w:val="000821E9"/>
    <w:rsid w:val="000825F8"/>
    <w:rsid w:val="0008273E"/>
    <w:rsid w:val="00082E6C"/>
    <w:rsid w:val="00083103"/>
    <w:rsid w:val="00083DE3"/>
    <w:rsid w:val="00085A2E"/>
    <w:rsid w:val="00095EDF"/>
    <w:rsid w:val="000A037A"/>
    <w:rsid w:val="000A2E0E"/>
    <w:rsid w:val="000A3376"/>
    <w:rsid w:val="000A70CC"/>
    <w:rsid w:val="000B26B9"/>
    <w:rsid w:val="000B6BD4"/>
    <w:rsid w:val="000B7F37"/>
    <w:rsid w:val="000C2B9B"/>
    <w:rsid w:val="000C39AA"/>
    <w:rsid w:val="000C5411"/>
    <w:rsid w:val="000C7F4D"/>
    <w:rsid w:val="000D0EA5"/>
    <w:rsid w:val="000D11E6"/>
    <w:rsid w:val="000D4625"/>
    <w:rsid w:val="000D4EB4"/>
    <w:rsid w:val="000D5334"/>
    <w:rsid w:val="000D578C"/>
    <w:rsid w:val="000D691E"/>
    <w:rsid w:val="000E0BE2"/>
    <w:rsid w:val="000E1733"/>
    <w:rsid w:val="000E72CB"/>
    <w:rsid w:val="000F0157"/>
    <w:rsid w:val="000F2E81"/>
    <w:rsid w:val="000F5195"/>
    <w:rsid w:val="000F5F4B"/>
    <w:rsid w:val="000F7545"/>
    <w:rsid w:val="00100228"/>
    <w:rsid w:val="001024AC"/>
    <w:rsid w:val="0010773B"/>
    <w:rsid w:val="00111853"/>
    <w:rsid w:val="001125E7"/>
    <w:rsid w:val="00113EE9"/>
    <w:rsid w:val="00117553"/>
    <w:rsid w:val="001200B4"/>
    <w:rsid w:val="00123213"/>
    <w:rsid w:val="00123400"/>
    <w:rsid w:val="00123E9C"/>
    <w:rsid w:val="0012553C"/>
    <w:rsid w:val="0012762C"/>
    <w:rsid w:val="0012798D"/>
    <w:rsid w:val="00130809"/>
    <w:rsid w:val="00132BA4"/>
    <w:rsid w:val="0013301A"/>
    <w:rsid w:val="0013396F"/>
    <w:rsid w:val="001356EB"/>
    <w:rsid w:val="00135B76"/>
    <w:rsid w:val="00136069"/>
    <w:rsid w:val="001364C9"/>
    <w:rsid w:val="00136AD6"/>
    <w:rsid w:val="00142EBD"/>
    <w:rsid w:val="00144FA3"/>
    <w:rsid w:val="00147056"/>
    <w:rsid w:val="001502CB"/>
    <w:rsid w:val="00155A0C"/>
    <w:rsid w:val="00156309"/>
    <w:rsid w:val="00157FF8"/>
    <w:rsid w:val="00160D9D"/>
    <w:rsid w:val="0016157D"/>
    <w:rsid w:val="0016350C"/>
    <w:rsid w:val="001648AA"/>
    <w:rsid w:val="00165432"/>
    <w:rsid w:val="00166945"/>
    <w:rsid w:val="00166A18"/>
    <w:rsid w:val="00166F20"/>
    <w:rsid w:val="00167A6B"/>
    <w:rsid w:val="00170067"/>
    <w:rsid w:val="00170526"/>
    <w:rsid w:val="0017142F"/>
    <w:rsid w:val="00171C5F"/>
    <w:rsid w:val="00172640"/>
    <w:rsid w:val="00172DF1"/>
    <w:rsid w:val="00173384"/>
    <w:rsid w:val="00173950"/>
    <w:rsid w:val="00173B37"/>
    <w:rsid w:val="00174E2D"/>
    <w:rsid w:val="0017536F"/>
    <w:rsid w:val="00175FAF"/>
    <w:rsid w:val="00176249"/>
    <w:rsid w:val="00177457"/>
    <w:rsid w:val="001809E3"/>
    <w:rsid w:val="00180DBD"/>
    <w:rsid w:val="001830C9"/>
    <w:rsid w:val="00183F99"/>
    <w:rsid w:val="00184664"/>
    <w:rsid w:val="001903A8"/>
    <w:rsid w:val="001935D9"/>
    <w:rsid w:val="0019584C"/>
    <w:rsid w:val="00195E74"/>
    <w:rsid w:val="001975D4"/>
    <w:rsid w:val="001A1672"/>
    <w:rsid w:val="001A2766"/>
    <w:rsid w:val="001A2E48"/>
    <w:rsid w:val="001A32C5"/>
    <w:rsid w:val="001A480C"/>
    <w:rsid w:val="001A49B8"/>
    <w:rsid w:val="001A4DEA"/>
    <w:rsid w:val="001A5871"/>
    <w:rsid w:val="001A614E"/>
    <w:rsid w:val="001B3404"/>
    <w:rsid w:val="001B3F7A"/>
    <w:rsid w:val="001B4897"/>
    <w:rsid w:val="001B7DE5"/>
    <w:rsid w:val="001C0960"/>
    <w:rsid w:val="001C14F4"/>
    <w:rsid w:val="001C3A51"/>
    <w:rsid w:val="001C4D09"/>
    <w:rsid w:val="001C6D43"/>
    <w:rsid w:val="001C7BE8"/>
    <w:rsid w:val="001D1EA8"/>
    <w:rsid w:val="001D1FE0"/>
    <w:rsid w:val="001D2418"/>
    <w:rsid w:val="001D244C"/>
    <w:rsid w:val="001D33C8"/>
    <w:rsid w:val="001D3E94"/>
    <w:rsid w:val="001D4618"/>
    <w:rsid w:val="001D78F5"/>
    <w:rsid w:val="001E16BD"/>
    <w:rsid w:val="001E2E38"/>
    <w:rsid w:val="001E3FE6"/>
    <w:rsid w:val="001E558D"/>
    <w:rsid w:val="001F301D"/>
    <w:rsid w:val="001F4542"/>
    <w:rsid w:val="001F50B5"/>
    <w:rsid w:val="001F5660"/>
    <w:rsid w:val="001F56E1"/>
    <w:rsid w:val="001F6177"/>
    <w:rsid w:val="001F63DF"/>
    <w:rsid w:val="00202DA0"/>
    <w:rsid w:val="00205899"/>
    <w:rsid w:val="0020754F"/>
    <w:rsid w:val="00207F19"/>
    <w:rsid w:val="00207F43"/>
    <w:rsid w:val="00211D03"/>
    <w:rsid w:val="00211F5F"/>
    <w:rsid w:val="0021656E"/>
    <w:rsid w:val="00220245"/>
    <w:rsid w:val="002207D0"/>
    <w:rsid w:val="00220FB3"/>
    <w:rsid w:val="0022466B"/>
    <w:rsid w:val="00225779"/>
    <w:rsid w:val="00226772"/>
    <w:rsid w:val="00227302"/>
    <w:rsid w:val="00230D02"/>
    <w:rsid w:val="00231216"/>
    <w:rsid w:val="00232F62"/>
    <w:rsid w:val="002340D1"/>
    <w:rsid w:val="0023453A"/>
    <w:rsid w:val="00235184"/>
    <w:rsid w:val="00235EF0"/>
    <w:rsid w:val="00236AB1"/>
    <w:rsid w:val="00236EC1"/>
    <w:rsid w:val="0024039F"/>
    <w:rsid w:val="00241CAC"/>
    <w:rsid w:val="002451EA"/>
    <w:rsid w:val="002453CB"/>
    <w:rsid w:val="00246623"/>
    <w:rsid w:val="002469F3"/>
    <w:rsid w:val="00247337"/>
    <w:rsid w:val="0025290C"/>
    <w:rsid w:val="002534E8"/>
    <w:rsid w:val="0025350C"/>
    <w:rsid w:val="002537A3"/>
    <w:rsid w:val="00253CC1"/>
    <w:rsid w:val="00254009"/>
    <w:rsid w:val="002557C6"/>
    <w:rsid w:val="00255D4E"/>
    <w:rsid w:val="0025605B"/>
    <w:rsid w:val="0025686C"/>
    <w:rsid w:val="0025755E"/>
    <w:rsid w:val="00260AAB"/>
    <w:rsid w:val="0026402B"/>
    <w:rsid w:val="0026482B"/>
    <w:rsid w:val="002677C5"/>
    <w:rsid w:val="002708AA"/>
    <w:rsid w:val="00270A21"/>
    <w:rsid w:val="00272116"/>
    <w:rsid w:val="002723AF"/>
    <w:rsid w:val="002726A8"/>
    <w:rsid w:val="00272833"/>
    <w:rsid w:val="002746E9"/>
    <w:rsid w:val="0027471E"/>
    <w:rsid w:val="00275D4B"/>
    <w:rsid w:val="0027792B"/>
    <w:rsid w:val="002862FD"/>
    <w:rsid w:val="00287F5C"/>
    <w:rsid w:val="00290A73"/>
    <w:rsid w:val="00291F70"/>
    <w:rsid w:val="00292DC2"/>
    <w:rsid w:val="0029430E"/>
    <w:rsid w:val="00294522"/>
    <w:rsid w:val="00294D61"/>
    <w:rsid w:val="0029510A"/>
    <w:rsid w:val="00295C5F"/>
    <w:rsid w:val="00295D33"/>
    <w:rsid w:val="002A2464"/>
    <w:rsid w:val="002A25E9"/>
    <w:rsid w:val="002A2B36"/>
    <w:rsid w:val="002A4F73"/>
    <w:rsid w:val="002A62EF"/>
    <w:rsid w:val="002A6474"/>
    <w:rsid w:val="002A6B76"/>
    <w:rsid w:val="002A6C27"/>
    <w:rsid w:val="002A6FDE"/>
    <w:rsid w:val="002A7361"/>
    <w:rsid w:val="002B27D5"/>
    <w:rsid w:val="002B3C4F"/>
    <w:rsid w:val="002C3820"/>
    <w:rsid w:val="002C3A40"/>
    <w:rsid w:val="002C3D8B"/>
    <w:rsid w:val="002C7FDA"/>
    <w:rsid w:val="002D0850"/>
    <w:rsid w:val="002D1E66"/>
    <w:rsid w:val="002D2169"/>
    <w:rsid w:val="002D5852"/>
    <w:rsid w:val="002D59B8"/>
    <w:rsid w:val="002D6EF4"/>
    <w:rsid w:val="002E08B4"/>
    <w:rsid w:val="002E12E6"/>
    <w:rsid w:val="002E37A1"/>
    <w:rsid w:val="002E4D46"/>
    <w:rsid w:val="002E4E79"/>
    <w:rsid w:val="002E630D"/>
    <w:rsid w:val="002E76B3"/>
    <w:rsid w:val="002F03E4"/>
    <w:rsid w:val="002F0A67"/>
    <w:rsid w:val="002F1489"/>
    <w:rsid w:val="002F4523"/>
    <w:rsid w:val="002F47F1"/>
    <w:rsid w:val="002F4C08"/>
    <w:rsid w:val="002F5F3F"/>
    <w:rsid w:val="002F7015"/>
    <w:rsid w:val="002F7D1E"/>
    <w:rsid w:val="003015C0"/>
    <w:rsid w:val="00303016"/>
    <w:rsid w:val="00303F64"/>
    <w:rsid w:val="00304B38"/>
    <w:rsid w:val="00304B8D"/>
    <w:rsid w:val="00306639"/>
    <w:rsid w:val="0030705E"/>
    <w:rsid w:val="0031504A"/>
    <w:rsid w:val="00317447"/>
    <w:rsid w:val="0032111C"/>
    <w:rsid w:val="00323ABE"/>
    <w:rsid w:val="003240CF"/>
    <w:rsid w:val="00324104"/>
    <w:rsid w:val="00325266"/>
    <w:rsid w:val="00325AFF"/>
    <w:rsid w:val="003260E1"/>
    <w:rsid w:val="0033076F"/>
    <w:rsid w:val="003307E8"/>
    <w:rsid w:val="00334FCA"/>
    <w:rsid w:val="00337801"/>
    <w:rsid w:val="0034111A"/>
    <w:rsid w:val="00341445"/>
    <w:rsid w:val="00342DBA"/>
    <w:rsid w:val="00342E3F"/>
    <w:rsid w:val="003455FD"/>
    <w:rsid w:val="00347A08"/>
    <w:rsid w:val="00347E55"/>
    <w:rsid w:val="00350243"/>
    <w:rsid w:val="003507BE"/>
    <w:rsid w:val="00351F5C"/>
    <w:rsid w:val="003520BE"/>
    <w:rsid w:val="00352BC9"/>
    <w:rsid w:val="00352CBB"/>
    <w:rsid w:val="00353457"/>
    <w:rsid w:val="0035533A"/>
    <w:rsid w:val="00360512"/>
    <w:rsid w:val="003605F5"/>
    <w:rsid w:val="00360FA9"/>
    <w:rsid w:val="003644B7"/>
    <w:rsid w:val="00365004"/>
    <w:rsid w:val="00365FBD"/>
    <w:rsid w:val="003678B9"/>
    <w:rsid w:val="00367AA9"/>
    <w:rsid w:val="00367B7E"/>
    <w:rsid w:val="00372124"/>
    <w:rsid w:val="003721C5"/>
    <w:rsid w:val="0037251A"/>
    <w:rsid w:val="00372AD9"/>
    <w:rsid w:val="0037431E"/>
    <w:rsid w:val="00375CEC"/>
    <w:rsid w:val="00376B1B"/>
    <w:rsid w:val="003774D9"/>
    <w:rsid w:val="003815B2"/>
    <w:rsid w:val="003819B0"/>
    <w:rsid w:val="003821EA"/>
    <w:rsid w:val="00383B64"/>
    <w:rsid w:val="00386945"/>
    <w:rsid w:val="00391693"/>
    <w:rsid w:val="00391EE2"/>
    <w:rsid w:val="0039250F"/>
    <w:rsid w:val="00394CFE"/>
    <w:rsid w:val="00395B2C"/>
    <w:rsid w:val="00396B7E"/>
    <w:rsid w:val="003978FF"/>
    <w:rsid w:val="00397AF2"/>
    <w:rsid w:val="003A0604"/>
    <w:rsid w:val="003A4BAF"/>
    <w:rsid w:val="003A5A59"/>
    <w:rsid w:val="003A6318"/>
    <w:rsid w:val="003A6366"/>
    <w:rsid w:val="003B1793"/>
    <w:rsid w:val="003B294C"/>
    <w:rsid w:val="003B45A1"/>
    <w:rsid w:val="003B57E8"/>
    <w:rsid w:val="003B647F"/>
    <w:rsid w:val="003B74EA"/>
    <w:rsid w:val="003C02E8"/>
    <w:rsid w:val="003C031B"/>
    <w:rsid w:val="003C181C"/>
    <w:rsid w:val="003C2779"/>
    <w:rsid w:val="003C4DEE"/>
    <w:rsid w:val="003C4F2B"/>
    <w:rsid w:val="003C50FA"/>
    <w:rsid w:val="003C5AC8"/>
    <w:rsid w:val="003C5BC3"/>
    <w:rsid w:val="003D1ABE"/>
    <w:rsid w:val="003D2148"/>
    <w:rsid w:val="003D3000"/>
    <w:rsid w:val="003D5022"/>
    <w:rsid w:val="003D5570"/>
    <w:rsid w:val="003D58B9"/>
    <w:rsid w:val="003E3AD0"/>
    <w:rsid w:val="003E3AEC"/>
    <w:rsid w:val="003E46E3"/>
    <w:rsid w:val="003E4920"/>
    <w:rsid w:val="003E60CC"/>
    <w:rsid w:val="003E6C9A"/>
    <w:rsid w:val="003E70F5"/>
    <w:rsid w:val="003E7263"/>
    <w:rsid w:val="003E7C85"/>
    <w:rsid w:val="003F2899"/>
    <w:rsid w:val="003F3E3F"/>
    <w:rsid w:val="003F74B4"/>
    <w:rsid w:val="00401671"/>
    <w:rsid w:val="00404239"/>
    <w:rsid w:val="00413C6A"/>
    <w:rsid w:val="00416209"/>
    <w:rsid w:val="00420B7C"/>
    <w:rsid w:val="004223F0"/>
    <w:rsid w:val="00423300"/>
    <w:rsid w:val="00425C6D"/>
    <w:rsid w:val="00427CA8"/>
    <w:rsid w:val="00427D02"/>
    <w:rsid w:val="00430766"/>
    <w:rsid w:val="00431B91"/>
    <w:rsid w:val="004328F5"/>
    <w:rsid w:val="00432EF5"/>
    <w:rsid w:val="0043469D"/>
    <w:rsid w:val="004378F0"/>
    <w:rsid w:val="0044553D"/>
    <w:rsid w:val="00445C50"/>
    <w:rsid w:val="00446369"/>
    <w:rsid w:val="004472F1"/>
    <w:rsid w:val="004478BA"/>
    <w:rsid w:val="00447B17"/>
    <w:rsid w:val="00447C14"/>
    <w:rsid w:val="0045039B"/>
    <w:rsid w:val="00451BBB"/>
    <w:rsid w:val="00453F77"/>
    <w:rsid w:val="0045475E"/>
    <w:rsid w:val="00454BFD"/>
    <w:rsid w:val="00456C17"/>
    <w:rsid w:val="004650E2"/>
    <w:rsid w:val="00465766"/>
    <w:rsid w:val="00470546"/>
    <w:rsid w:val="00470B0F"/>
    <w:rsid w:val="00471057"/>
    <w:rsid w:val="00472440"/>
    <w:rsid w:val="004738D3"/>
    <w:rsid w:val="004770E8"/>
    <w:rsid w:val="00481017"/>
    <w:rsid w:val="00482A56"/>
    <w:rsid w:val="0048366C"/>
    <w:rsid w:val="00483AA8"/>
    <w:rsid w:val="00485313"/>
    <w:rsid w:val="00486234"/>
    <w:rsid w:val="00486728"/>
    <w:rsid w:val="00487DC0"/>
    <w:rsid w:val="00490C63"/>
    <w:rsid w:val="004931C0"/>
    <w:rsid w:val="00495F31"/>
    <w:rsid w:val="004A0460"/>
    <w:rsid w:val="004A0E93"/>
    <w:rsid w:val="004A2D6B"/>
    <w:rsid w:val="004A501B"/>
    <w:rsid w:val="004A78E0"/>
    <w:rsid w:val="004B43DB"/>
    <w:rsid w:val="004B46D0"/>
    <w:rsid w:val="004B4B88"/>
    <w:rsid w:val="004B5A1D"/>
    <w:rsid w:val="004B6C4F"/>
    <w:rsid w:val="004D2C29"/>
    <w:rsid w:val="004D4839"/>
    <w:rsid w:val="004D4C0A"/>
    <w:rsid w:val="004D4CAC"/>
    <w:rsid w:val="004D6F33"/>
    <w:rsid w:val="004E2B32"/>
    <w:rsid w:val="004E3ADA"/>
    <w:rsid w:val="004E4AD2"/>
    <w:rsid w:val="004E519A"/>
    <w:rsid w:val="004E589C"/>
    <w:rsid w:val="004E5AF9"/>
    <w:rsid w:val="004E6624"/>
    <w:rsid w:val="004E6EA6"/>
    <w:rsid w:val="004E7516"/>
    <w:rsid w:val="004E7DFE"/>
    <w:rsid w:val="004F130E"/>
    <w:rsid w:val="004F17A5"/>
    <w:rsid w:val="004F47CE"/>
    <w:rsid w:val="004F57B1"/>
    <w:rsid w:val="004F5F4F"/>
    <w:rsid w:val="004F64F1"/>
    <w:rsid w:val="004F73C6"/>
    <w:rsid w:val="0050193C"/>
    <w:rsid w:val="00504069"/>
    <w:rsid w:val="0050619F"/>
    <w:rsid w:val="00506A9E"/>
    <w:rsid w:val="005076DE"/>
    <w:rsid w:val="00510D24"/>
    <w:rsid w:val="00511528"/>
    <w:rsid w:val="0051209B"/>
    <w:rsid w:val="0051224F"/>
    <w:rsid w:val="0051304E"/>
    <w:rsid w:val="00513CC6"/>
    <w:rsid w:val="00514937"/>
    <w:rsid w:val="00516200"/>
    <w:rsid w:val="005167EF"/>
    <w:rsid w:val="00520237"/>
    <w:rsid w:val="005218E5"/>
    <w:rsid w:val="00522636"/>
    <w:rsid w:val="00524839"/>
    <w:rsid w:val="005249B0"/>
    <w:rsid w:val="00526651"/>
    <w:rsid w:val="00530446"/>
    <w:rsid w:val="00530BB0"/>
    <w:rsid w:val="00531644"/>
    <w:rsid w:val="00532492"/>
    <w:rsid w:val="005326F0"/>
    <w:rsid w:val="00532A2D"/>
    <w:rsid w:val="00532DF9"/>
    <w:rsid w:val="00534DEE"/>
    <w:rsid w:val="005350E9"/>
    <w:rsid w:val="005360C2"/>
    <w:rsid w:val="00537BAB"/>
    <w:rsid w:val="00540913"/>
    <w:rsid w:val="00541EC2"/>
    <w:rsid w:val="005428A2"/>
    <w:rsid w:val="00542C92"/>
    <w:rsid w:val="0054416F"/>
    <w:rsid w:val="00546DE4"/>
    <w:rsid w:val="00551F1C"/>
    <w:rsid w:val="0055269B"/>
    <w:rsid w:val="005528DB"/>
    <w:rsid w:val="0055359B"/>
    <w:rsid w:val="005536FB"/>
    <w:rsid w:val="00553767"/>
    <w:rsid w:val="00553DB1"/>
    <w:rsid w:val="00554850"/>
    <w:rsid w:val="00554BF9"/>
    <w:rsid w:val="005563A8"/>
    <w:rsid w:val="005564BB"/>
    <w:rsid w:val="00556C2C"/>
    <w:rsid w:val="00557B06"/>
    <w:rsid w:val="00560568"/>
    <w:rsid w:val="00564035"/>
    <w:rsid w:val="0056476B"/>
    <w:rsid w:val="005652A4"/>
    <w:rsid w:val="00565457"/>
    <w:rsid w:val="00565551"/>
    <w:rsid w:val="0056687E"/>
    <w:rsid w:val="00566FF3"/>
    <w:rsid w:val="0057069F"/>
    <w:rsid w:val="005710A7"/>
    <w:rsid w:val="00574A2C"/>
    <w:rsid w:val="00574EAE"/>
    <w:rsid w:val="005751F5"/>
    <w:rsid w:val="005757AA"/>
    <w:rsid w:val="00576814"/>
    <w:rsid w:val="0057795B"/>
    <w:rsid w:val="00577B21"/>
    <w:rsid w:val="00582B88"/>
    <w:rsid w:val="00583E6C"/>
    <w:rsid w:val="00587E0F"/>
    <w:rsid w:val="005924F6"/>
    <w:rsid w:val="00593AB9"/>
    <w:rsid w:val="005946B9"/>
    <w:rsid w:val="00594E7B"/>
    <w:rsid w:val="005960FE"/>
    <w:rsid w:val="005A085B"/>
    <w:rsid w:val="005A20AD"/>
    <w:rsid w:val="005A237D"/>
    <w:rsid w:val="005A2C0C"/>
    <w:rsid w:val="005A30BF"/>
    <w:rsid w:val="005A33E9"/>
    <w:rsid w:val="005A5035"/>
    <w:rsid w:val="005A526C"/>
    <w:rsid w:val="005A5E19"/>
    <w:rsid w:val="005A757E"/>
    <w:rsid w:val="005B1B81"/>
    <w:rsid w:val="005B485E"/>
    <w:rsid w:val="005B73CC"/>
    <w:rsid w:val="005C084E"/>
    <w:rsid w:val="005C0997"/>
    <w:rsid w:val="005C141A"/>
    <w:rsid w:val="005C201D"/>
    <w:rsid w:val="005C4F07"/>
    <w:rsid w:val="005C6BD9"/>
    <w:rsid w:val="005C7850"/>
    <w:rsid w:val="005C79AE"/>
    <w:rsid w:val="005D1D8C"/>
    <w:rsid w:val="005D56AD"/>
    <w:rsid w:val="005D5830"/>
    <w:rsid w:val="005E0245"/>
    <w:rsid w:val="005E097F"/>
    <w:rsid w:val="005E4479"/>
    <w:rsid w:val="005E50BC"/>
    <w:rsid w:val="005E587C"/>
    <w:rsid w:val="005E663E"/>
    <w:rsid w:val="005E7FAC"/>
    <w:rsid w:val="005F03BD"/>
    <w:rsid w:val="005F1C52"/>
    <w:rsid w:val="005F27B0"/>
    <w:rsid w:val="005F2F2D"/>
    <w:rsid w:val="005F3849"/>
    <w:rsid w:val="005F4339"/>
    <w:rsid w:val="005F5072"/>
    <w:rsid w:val="005F6CF0"/>
    <w:rsid w:val="006001BB"/>
    <w:rsid w:val="006010A1"/>
    <w:rsid w:val="00601BF7"/>
    <w:rsid w:val="006031DA"/>
    <w:rsid w:val="00603DFC"/>
    <w:rsid w:val="00605C03"/>
    <w:rsid w:val="00610075"/>
    <w:rsid w:val="00614EA0"/>
    <w:rsid w:val="006170C1"/>
    <w:rsid w:val="00617842"/>
    <w:rsid w:val="0062059E"/>
    <w:rsid w:val="00620DFB"/>
    <w:rsid w:val="00621C48"/>
    <w:rsid w:val="006259BB"/>
    <w:rsid w:val="00625C11"/>
    <w:rsid w:val="00630179"/>
    <w:rsid w:val="00630B0B"/>
    <w:rsid w:val="006320BB"/>
    <w:rsid w:val="00632503"/>
    <w:rsid w:val="00633A97"/>
    <w:rsid w:val="00634B74"/>
    <w:rsid w:val="00634E88"/>
    <w:rsid w:val="00635589"/>
    <w:rsid w:val="00636B97"/>
    <w:rsid w:val="00640408"/>
    <w:rsid w:val="006422C2"/>
    <w:rsid w:val="006423F4"/>
    <w:rsid w:val="006427BE"/>
    <w:rsid w:val="006473CE"/>
    <w:rsid w:val="00647DF3"/>
    <w:rsid w:val="00651629"/>
    <w:rsid w:val="00651BC4"/>
    <w:rsid w:val="00652C07"/>
    <w:rsid w:val="00652FF2"/>
    <w:rsid w:val="006549F3"/>
    <w:rsid w:val="00655AF5"/>
    <w:rsid w:val="006564DC"/>
    <w:rsid w:val="00662F39"/>
    <w:rsid w:val="006634D5"/>
    <w:rsid w:val="00664470"/>
    <w:rsid w:val="0066460E"/>
    <w:rsid w:val="00666E8A"/>
    <w:rsid w:val="006670D1"/>
    <w:rsid w:val="00670C6E"/>
    <w:rsid w:val="00675A69"/>
    <w:rsid w:val="00676670"/>
    <w:rsid w:val="00677E9C"/>
    <w:rsid w:val="00682CDF"/>
    <w:rsid w:val="00683574"/>
    <w:rsid w:val="00691A70"/>
    <w:rsid w:val="00692750"/>
    <w:rsid w:val="006937FC"/>
    <w:rsid w:val="0069418E"/>
    <w:rsid w:val="00694AFE"/>
    <w:rsid w:val="00696AAE"/>
    <w:rsid w:val="006979C0"/>
    <w:rsid w:val="006A05B3"/>
    <w:rsid w:val="006A086C"/>
    <w:rsid w:val="006A1104"/>
    <w:rsid w:val="006A1F62"/>
    <w:rsid w:val="006A2E1C"/>
    <w:rsid w:val="006A32F1"/>
    <w:rsid w:val="006A43E6"/>
    <w:rsid w:val="006A484A"/>
    <w:rsid w:val="006A5984"/>
    <w:rsid w:val="006A6951"/>
    <w:rsid w:val="006B5148"/>
    <w:rsid w:val="006B5E43"/>
    <w:rsid w:val="006B6748"/>
    <w:rsid w:val="006C04DD"/>
    <w:rsid w:val="006C09C7"/>
    <w:rsid w:val="006C208B"/>
    <w:rsid w:val="006C56C7"/>
    <w:rsid w:val="006C57F5"/>
    <w:rsid w:val="006D587C"/>
    <w:rsid w:val="006D7A48"/>
    <w:rsid w:val="006D7CD9"/>
    <w:rsid w:val="006E1D0E"/>
    <w:rsid w:val="006E3502"/>
    <w:rsid w:val="006E435E"/>
    <w:rsid w:val="006E6BF4"/>
    <w:rsid w:val="006F1071"/>
    <w:rsid w:val="006F12E2"/>
    <w:rsid w:val="006F2570"/>
    <w:rsid w:val="006F2FAE"/>
    <w:rsid w:val="006F46A6"/>
    <w:rsid w:val="006F4726"/>
    <w:rsid w:val="006F51F3"/>
    <w:rsid w:val="006F544B"/>
    <w:rsid w:val="007011FE"/>
    <w:rsid w:val="007020CE"/>
    <w:rsid w:val="00702567"/>
    <w:rsid w:val="0070277D"/>
    <w:rsid w:val="00703A78"/>
    <w:rsid w:val="00704680"/>
    <w:rsid w:val="00707A2D"/>
    <w:rsid w:val="00712B42"/>
    <w:rsid w:val="0071311C"/>
    <w:rsid w:val="007131D6"/>
    <w:rsid w:val="00713B52"/>
    <w:rsid w:val="0071588B"/>
    <w:rsid w:val="0071666F"/>
    <w:rsid w:val="007204BA"/>
    <w:rsid w:val="00720EC5"/>
    <w:rsid w:val="007245A9"/>
    <w:rsid w:val="00724AD8"/>
    <w:rsid w:val="0072734D"/>
    <w:rsid w:val="00730EBF"/>
    <w:rsid w:val="00731D21"/>
    <w:rsid w:val="00731DFF"/>
    <w:rsid w:val="00733212"/>
    <w:rsid w:val="0073321E"/>
    <w:rsid w:val="0073352A"/>
    <w:rsid w:val="007335E7"/>
    <w:rsid w:val="00733847"/>
    <w:rsid w:val="00734BE8"/>
    <w:rsid w:val="0073641A"/>
    <w:rsid w:val="0074053C"/>
    <w:rsid w:val="00740633"/>
    <w:rsid w:val="0074125A"/>
    <w:rsid w:val="00741B34"/>
    <w:rsid w:val="00741B61"/>
    <w:rsid w:val="00741BE9"/>
    <w:rsid w:val="00741C93"/>
    <w:rsid w:val="00741FAB"/>
    <w:rsid w:val="0074285F"/>
    <w:rsid w:val="0074788A"/>
    <w:rsid w:val="00750E7C"/>
    <w:rsid w:val="0075252A"/>
    <w:rsid w:val="00752D5B"/>
    <w:rsid w:val="0075405F"/>
    <w:rsid w:val="00754C39"/>
    <w:rsid w:val="007551F3"/>
    <w:rsid w:val="007554A8"/>
    <w:rsid w:val="00755738"/>
    <w:rsid w:val="007563F6"/>
    <w:rsid w:val="00760243"/>
    <w:rsid w:val="007619AD"/>
    <w:rsid w:val="00762C30"/>
    <w:rsid w:val="007638D8"/>
    <w:rsid w:val="00763F96"/>
    <w:rsid w:val="00763FA1"/>
    <w:rsid w:val="007649CD"/>
    <w:rsid w:val="00766992"/>
    <w:rsid w:val="00766BD2"/>
    <w:rsid w:val="00766C3A"/>
    <w:rsid w:val="00767E19"/>
    <w:rsid w:val="007709CF"/>
    <w:rsid w:val="00771366"/>
    <w:rsid w:val="007716A1"/>
    <w:rsid w:val="00771F9A"/>
    <w:rsid w:val="0077275A"/>
    <w:rsid w:val="00774D31"/>
    <w:rsid w:val="00774E79"/>
    <w:rsid w:val="007755FE"/>
    <w:rsid w:val="007802C5"/>
    <w:rsid w:val="007804FB"/>
    <w:rsid w:val="007848CC"/>
    <w:rsid w:val="00786501"/>
    <w:rsid w:val="00786952"/>
    <w:rsid w:val="00786BE2"/>
    <w:rsid w:val="007901A7"/>
    <w:rsid w:val="0079105E"/>
    <w:rsid w:val="007911D8"/>
    <w:rsid w:val="00791C10"/>
    <w:rsid w:val="00792192"/>
    <w:rsid w:val="00792A85"/>
    <w:rsid w:val="00792D0E"/>
    <w:rsid w:val="007942D8"/>
    <w:rsid w:val="0079775A"/>
    <w:rsid w:val="007A0C93"/>
    <w:rsid w:val="007A2210"/>
    <w:rsid w:val="007A61EE"/>
    <w:rsid w:val="007A6C52"/>
    <w:rsid w:val="007B143D"/>
    <w:rsid w:val="007B15BC"/>
    <w:rsid w:val="007B26EB"/>
    <w:rsid w:val="007B37ED"/>
    <w:rsid w:val="007B49C0"/>
    <w:rsid w:val="007B50E3"/>
    <w:rsid w:val="007B7B2B"/>
    <w:rsid w:val="007C2786"/>
    <w:rsid w:val="007D2CDE"/>
    <w:rsid w:val="007D4490"/>
    <w:rsid w:val="007D47F9"/>
    <w:rsid w:val="007D5C24"/>
    <w:rsid w:val="007D75CD"/>
    <w:rsid w:val="007D7654"/>
    <w:rsid w:val="007E13B8"/>
    <w:rsid w:val="007E2AB2"/>
    <w:rsid w:val="007E34F9"/>
    <w:rsid w:val="007E3C9C"/>
    <w:rsid w:val="007E4ED6"/>
    <w:rsid w:val="007F004C"/>
    <w:rsid w:val="007F1158"/>
    <w:rsid w:val="007F2202"/>
    <w:rsid w:val="007F5E2A"/>
    <w:rsid w:val="007F73FD"/>
    <w:rsid w:val="008035C8"/>
    <w:rsid w:val="00803847"/>
    <w:rsid w:val="00803F91"/>
    <w:rsid w:val="00805010"/>
    <w:rsid w:val="008069F6"/>
    <w:rsid w:val="008109A6"/>
    <w:rsid w:val="00811901"/>
    <w:rsid w:val="008128E3"/>
    <w:rsid w:val="00813B77"/>
    <w:rsid w:val="0082198E"/>
    <w:rsid w:val="00822364"/>
    <w:rsid w:val="0082349C"/>
    <w:rsid w:val="00824D21"/>
    <w:rsid w:val="00825916"/>
    <w:rsid w:val="00826022"/>
    <w:rsid w:val="00826105"/>
    <w:rsid w:val="00826C63"/>
    <w:rsid w:val="00827921"/>
    <w:rsid w:val="00831AF4"/>
    <w:rsid w:val="00831DC0"/>
    <w:rsid w:val="00831EDF"/>
    <w:rsid w:val="0083261E"/>
    <w:rsid w:val="00833518"/>
    <w:rsid w:val="00834711"/>
    <w:rsid w:val="00834754"/>
    <w:rsid w:val="0083569E"/>
    <w:rsid w:val="00837C5D"/>
    <w:rsid w:val="00841602"/>
    <w:rsid w:val="00843C65"/>
    <w:rsid w:val="0084420E"/>
    <w:rsid w:val="00844996"/>
    <w:rsid w:val="008463FF"/>
    <w:rsid w:val="008472A8"/>
    <w:rsid w:val="00847876"/>
    <w:rsid w:val="00847BA8"/>
    <w:rsid w:val="00850045"/>
    <w:rsid w:val="00850DEF"/>
    <w:rsid w:val="00851BE9"/>
    <w:rsid w:val="00854105"/>
    <w:rsid w:val="00857432"/>
    <w:rsid w:val="00857F87"/>
    <w:rsid w:val="008638A7"/>
    <w:rsid w:val="00864715"/>
    <w:rsid w:val="0086675F"/>
    <w:rsid w:val="00867254"/>
    <w:rsid w:val="008753A0"/>
    <w:rsid w:val="00875A36"/>
    <w:rsid w:val="00877063"/>
    <w:rsid w:val="00877334"/>
    <w:rsid w:val="00877565"/>
    <w:rsid w:val="0088173D"/>
    <w:rsid w:val="0088301A"/>
    <w:rsid w:val="00883F86"/>
    <w:rsid w:val="008870C7"/>
    <w:rsid w:val="0089328A"/>
    <w:rsid w:val="00896EB2"/>
    <w:rsid w:val="0089768D"/>
    <w:rsid w:val="008A184C"/>
    <w:rsid w:val="008A4A98"/>
    <w:rsid w:val="008A51F3"/>
    <w:rsid w:val="008A6BC3"/>
    <w:rsid w:val="008B1D88"/>
    <w:rsid w:val="008B222A"/>
    <w:rsid w:val="008B2FD3"/>
    <w:rsid w:val="008B3094"/>
    <w:rsid w:val="008B4384"/>
    <w:rsid w:val="008B7BF6"/>
    <w:rsid w:val="008C0550"/>
    <w:rsid w:val="008C326B"/>
    <w:rsid w:val="008C36E7"/>
    <w:rsid w:val="008C4512"/>
    <w:rsid w:val="008C5F3B"/>
    <w:rsid w:val="008E0462"/>
    <w:rsid w:val="008E1282"/>
    <w:rsid w:val="008E3A66"/>
    <w:rsid w:val="008E405A"/>
    <w:rsid w:val="008E742A"/>
    <w:rsid w:val="008F1F5B"/>
    <w:rsid w:val="008F233A"/>
    <w:rsid w:val="008F384E"/>
    <w:rsid w:val="008F4638"/>
    <w:rsid w:val="008F5CCC"/>
    <w:rsid w:val="008F5CDC"/>
    <w:rsid w:val="008F5D96"/>
    <w:rsid w:val="008F7947"/>
    <w:rsid w:val="008F7CF4"/>
    <w:rsid w:val="008F7D42"/>
    <w:rsid w:val="00900328"/>
    <w:rsid w:val="00900A20"/>
    <w:rsid w:val="00901710"/>
    <w:rsid w:val="00901713"/>
    <w:rsid w:val="009019E0"/>
    <w:rsid w:val="00904197"/>
    <w:rsid w:val="0090438A"/>
    <w:rsid w:val="00905236"/>
    <w:rsid w:val="0090530B"/>
    <w:rsid w:val="0090530C"/>
    <w:rsid w:val="00905477"/>
    <w:rsid w:val="00906684"/>
    <w:rsid w:val="00906D07"/>
    <w:rsid w:val="00911C75"/>
    <w:rsid w:val="00913EE5"/>
    <w:rsid w:val="0091578B"/>
    <w:rsid w:val="009162CB"/>
    <w:rsid w:val="0091705E"/>
    <w:rsid w:val="00917401"/>
    <w:rsid w:val="00917B2F"/>
    <w:rsid w:val="00920E7D"/>
    <w:rsid w:val="00921784"/>
    <w:rsid w:val="009217E4"/>
    <w:rsid w:val="00923C1A"/>
    <w:rsid w:val="0092474F"/>
    <w:rsid w:val="00924E56"/>
    <w:rsid w:val="00930349"/>
    <w:rsid w:val="00930B04"/>
    <w:rsid w:val="00931D0C"/>
    <w:rsid w:val="00932746"/>
    <w:rsid w:val="00933BD3"/>
    <w:rsid w:val="009341DE"/>
    <w:rsid w:val="00934E16"/>
    <w:rsid w:val="00936DB1"/>
    <w:rsid w:val="009402CF"/>
    <w:rsid w:val="00941C45"/>
    <w:rsid w:val="0094220A"/>
    <w:rsid w:val="00944526"/>
    <w:rsid w:val="009548B4"/>
    <w:rsid w:val="009576ED"/>
    <w:rsid w:val="00967DB2"/>
    <w:rsid w:val="00970BA5"/>
    <w:rsid w:val="00972319"/>
    <w:rsid w:val="00972FED"/>
    <w:rsid w:val="009736FE"/>
    <w:rsid w:val="00977591"/>
    <w:rsid w:val="009779DB"/>
    <w:rsid w:val="00983A7D"/>
    <w:rsid w:val="00986614"/>
    <w:rsid w:val="00986A4D"/>
    <w:rsid w:val="00987115"/>
    <w:rsid w:val="00990DF1"/>
    <w:rsid w:val="00990F88"/>
    <w:rsid w:val="00993C9B"/>
    <w:rsid w:val="0099421E"/>
    <w:rsid w:val="009975DB"/>
    <w:rsid w:val="00997D0A"/>
    <w:rsid w:val="009A03FF"/>
    <w:rsid w:val="009A228E"/>
    <w:rsid w:val="009A33C5"/>
    <w:rsid w:val="009A5AF7"/>
    <w:rsid w:val="009A72A9"/>
    <w:rsid w:val="009A75D1"/>
    <w:rsid w:val="009B4972"/>
    <w:rsid w:val="009B57F3"/>
    <w:rsid w:val="009B5B33"/>
    <w:rsid w:val="009B6985"/>
    <w:rsid w:val="009C0DAB"/>
    <w:rsid w:val="009C1FC3"/>
    <w:rsid w:val="009C25A6"/>
    <w:rsid w:val="009C29A0"/>
    <w:rsid w:val="009C3A7B"/>
    <w:rsid w:val="009C663F"/>
    <w:rsid w:val="009C6CFA"/>
    <w:rsid w:val="009D15F0"/>
    <w:rsid w:val="009D1F45"/>
    <w:rsid w:val="009D27D0"/>
    <w:rsid w:val="009D292D"/>
    <w:rsid w:val="009D3BC5"/>
    <w:rsid w:val="009D4FBB"/>
    <w:rsid w:val="009D51AA"/>
    <w:rsid w:val="009D68FC"/>
    <w:rsid w:val="009D7DB7"/>
    <w:rsid w:val="009E0094"/>
    <w:rsid w:val="009E03C4"/>
    <w:rsid w:val="009E0A30"/>
    <w:rsid w:val="009E2F9F"/>
    <w:rsid w:val="009E4445"/>
    <w:rsid w:val="009E6906"/>
    <w:rsid w:val="009E69D9"/>
    <w:rsid w:val="009F0075"/>
    <w:rsid w:val="009F157C"/>
    <w:rsid w:val="009F251C"/>
    <w:rsid w:val="009F3B59"/>
    <w:rsid w:val="009F5E16"/>
    <w:rsid w:val="009F6D2F"/>
    <w:rsid w:val="00A0015C"/>
    <w:rsid w:val="00A00CFB"/>
    <w:rsid w:val="00A01A3B"/>
    <w:rsid w:val="00A022F1"/>
    <w:rsid w:val="00A025AB"/>
    <w:rsid w:val="00A04B7A"/>
    <w:rsid w:val="00A07A61"/>
    <w:rsid w:val="00A07C84"/>
    <w:rsid w:val="00A07F0A"/>
    <w:rsid w:val="00A11855"/>
    <w:rsid w:val="00A126C7"/>
    <w:rsid w:val="00A130D0"/>
    <w:rsid w:val="00A14692"/>
    <w:rsid w:val="00A16E90"/>
    <w:rsid w:val="00A171D6"/>
    <w:rsid w:val="00A17C7C"/>
    <w:rsid w:val="00A20B2D"/>
    <w:rsid w:val="00A2256E"/>
    <w:rsid w:val="00A22EB7"/>
    <w:rsid w:val="00A23A57"/>
    <w:rsid w:val="00A24EE7"/>
    <w:rsid w:val="00A32BB4"/>
    <w:rsid w:val="00A32CC0"/>
    <w:rsid w:val="00A33661"/>
    <w:rsid w:val="00A34A1A"/>
    <w:rsid w:val="00A35EEA"/>
    <w:rsid w:val="00A36012"/>
    <w:rsid w:val="00A36403"/>
    <w:rsid w:val="00A40AF9"/>
    <w:rsid w:val="00A40F0C"/>
    <w:rsid w:val="00A419F6"/>
    <w:rsid w:val="00A43F77"/>
    <w:rsid w:val="00A45918"/>
    <w:rsid w:val="00A45E39"/>
    <w:rsid w:val="00A47386"/>
    <w:rsid w:val="00A4745A"/>
    <w:rsid w:val="00A4765D"/>
    <w:rsid w:val="00A52AA1"/>
    <w:rsid w:val="00A53928"/>
    <w:rsid w:val="00A543E9"/>
    <w:rsid w:val="00A54683"/>
    <w:rsid w:val="00A55431"/>
    <w:rsid w:val="00A558BE"/>
    <w:rsid w:val="00A55B88"/>
    <w:rsid w:val="00A5675D"/>
    <w:rsid w:val="00A64CC0"/>
    <w:rsid w:val="00A713B6"/>
    <w:rsid w:val="00A73F5F"/>
    <w:rsid w:val="00A75C6D"/>
    <w:rsid w:val="00A76631"/>
    <w:rsid w:val="00A77DF3"/>
    <w:rsid w:val="00A80D36"/>
    <w:rsid w:val="00A84F7A"/>
    <w:rsid w:val="00A865E8"/>
    <w:rsid w:val="00A90A24"/>
    <w:rsid w:val="00A91184"/>
    <w:rsid w:val="00A91958"/>
    <w:rsid w:val="00A93A34"/>
    <w:rsid w:val="00A94F40"/>
    <w:rsid w:val="00A97AED"/>
    <w:rsid w:val="00A97C89"/>
    <w:rsid w:val="00AA14BD"/>
    <w:rsid w:val="00AA3DA6"/>
    <w:rsid w:val="00AA4C10"/>
    <w:rsid w:val="00AA6DEF"/>
    <w:rsid w:val="00AA6F1B"/>
    <w:rsid w:val="00AA7998"/>
    <w:rsid w:val="00AB1678"/>
    <w:rsid w:val="00AB1F87"/>
    <w:rsid w:val="00AB26B4"/>
    <w:rsid w:val="00AB3F32"/>
    <w:rsid w:val="00AB53A0"/>
    <w:rsid w:val="00AB5638"/>
    <w:rsid w:val="00AB7820"/>
    <w:rsid w:val="00AC07E1"/>
    <w:rsid w:val="00AC19AF"/>
    <w:rsid w:val="00AC247A"/>
    <w:rsid w:val="00AC33EC"/>
    <w:rsid w:val="00AC4F5C"/>
    <w:rsid w:val="00AC520B"/>
    <w:rsid w:val="00AC6206"/>
    <w:rsid w:val="00AC7C5C"/>
    <w:rsid w:val="00AD0D3A"/>
    <w:rsid w:val="00AD163A"/>
    <w:rsid w:val="00AD3887"/>
    <w:rsid w:val="00AD4EB6"/>
    <w:rsid w:val="00AD50DA"/>
    <w:rsid w:val="00AD52A3"/>
    <w:rsid w:val="00AD5CDF"/>
    <w:rsid w:val="00AD74EB"/>
    <w:rsid w:val="00AD7B63"/>
    <w:rsid w:val="00AD7C10"/>
    <w:rsid w:val="00AE1A02"/>
    <w:rsid w:val="00AE2A2D"/>
    <w:rsid w:val="00AE2BF6"/>
    <w:rsid w:val="00AE6D5D"/>
    <w:rsid w:val="00AE7308"/>
    <w:rsid w:val="00AE74A9"/>
    <w:rsid w:val="00AE76DB"/>
    <w:rsid w:val="00AF18A4"/>
    <w:rsid w:val="00AF38A0"/>
    <w:rsid w:val="00AF507F"/>
    <w:rsid w:val="00AF6E46"/>
    <w:rsid w:val="00AF7512"/>
    <w:rsid w:val="00AF7C77"/>
    <w:rsid w:val="00B00BAF"/>
    <w:rsid w:val="00B03BE5"/>
    <w:rsid w:val="00B05561"/>
    <w:rsid w:val="00B05EC6"/>
    <w:rsid w:val="00B065A0"/>
    <w:rsid w:val="00B069BA"/>
    <w:rsid w:val="00B104B5"/>
    <w:rsid w:val="00B11F00"/>
    <w:rsid w:val="00B126AB"/>
    <w:rsid w:val="00B1525D"/>
    <w:rsid w:val="00B1566F"/>
    <w:rsid w:val="00B157B5"/>
    <w:rsid w:val="00B1617B"/>
    <w:rsid w:val="00B16685"/>
    <w:rsid w:val="00B174B2"/>
    <w:rsid w:val="00B17C60"/>
    <w:rsid w:val="00B20A4D"/>
    <w:rsid w:val="00B2195E"/>
    <w:rsid w:val="00B244A8"/>
    <w:rsid w:val="00B24B83"/>
    <w:rsid w:val="00B25190"/>
    <w:rsid w:val="00B25401"/>
    <w:rsid w:val="00B257FB"/>
    <w:rsid w:val="00B26790"/>
    <w:rsid w:val="00B30583"/>
    <w:rsid w:val="00B3110E"/>
    <w:rsid w:val="00B31484"/>
    <w:rsid w:val="00B32502"/>
    <w:rsid w:val="00B328EF"/>
    <w:rsid w:val="00B32D2B"/>
    <w:rsid w:val="00B331F4"/>
    <w:rsid w:val="00B345B3"/>
    <w:rsid w:val="00B4168A"/>
    <w:rsid w:val="00B42846"/>
    <w:rsid w:val="00B43402"/>
    <w:rsid w:val="00B43CFA"/>
    <w:rsid w:val="00B44E26"/>
    <w:rsid w:val="00B46142"/>
    <w:rsid w:val="00B47296"/>
    <w:rsid w:val="00B4765E"/>
    <w:rsid w:val="00B507FB"/>
    <w:rsid w:val="00B5182C"/>
    <w:rsid w:val="00B523B0"/>
    <w:rsid w:val="00B56144"/>
    <w:rsid w:val="00B566DB"/>
    <w:rsid w:val="00B57417"/>
    <w:rsid w:val="00B60496"/>
    <w:rsid w:val="00B6136A"/>
    <w:rsid w:val="00B61998"/>
    <w:rsid w:val="00B625EA"/>
    <w:rsid w:val="00B63A83"/>
    <w:rsid w:val="00B64733"/>
    <w:rsid w:val="00B64DCB"/>
    <w:rsid w:val="00B655DC"/>
    <w:rsid w:val="00B66A32"/>
    <w:rsid w:val="00B66DD6"/>
    <w:rsid w:val="00B71954"/>
    <w:rsid w:val="00B7262B"/>
    <w:rsid w:val="00B72704"/>
    <w:rsid w:val="00B72B8C"/>
    <w:rsid w:val="00B75BF4"/>
    <w:rsid w:val="00B76A52"/>
    <w:rsid w:val="00B76DC2"/>
    <w:rsid w:val="00B817AA"/>
    <w:rsid w:val="00B81D28"/>
    <w:rsid w:val="00B828C7"/>
    <w:rsid w:val="00B843FD"/>
    <w:rsid w:val="00B85D9F"/>
    <w:rsid w:val="00B877B2"/>
    <w:rsid w:val="00B96653"/>
    <w:rsid w:val="00B96A69"/>
    <w:rsid w:val="00B972E2"/>
    <w:rsid w:val="00B975F9"/>
    <w:rsid w:val="00B97E7C"/>
    <w:rsid w:val="00BA023D"/>
    <w:rsid w:val="00BA1F1C"/>
    <w:rsid w:val="00BA23BA"/>
    <w:rsid w:val="00BA2664"/>
    <w:rsid w:val="00BA5222"/>
    <w:rsid w:val="00BA5DFC"/>
    <w:rsid w:val="00BA6490"/>
    <w:rsid w:val="00BA6941"/>
    <w:rsid w:val="00BA7152"/>
    <w:rsid w:val="00BB1216"/>
    <w:rsid w:val="00BB6428"/>
    <w:rsid w:val="00BC0BB5"/>
    <w:rsid w:val="00BC19E5"/>
    <w:rsid w:val="00BC4D3B"/>
    <w:rsid w:val="00BC4EBE"/>
    <w:rsid w:val="00BC5D56"/>
    <w:rsid w:val="00BC62C0"/>
    <w:rsid w:val="00BD0CAF"/>
    <w:rsid w:val="00BD2F29"/>
    <w:rsid w:val="00BD3BA5"/>
    <w:rsid w:val="00BD5C30"/>
    <w:rsid w:val="00BD5E40"/>
    <w:rsid w:val="00BE2511"/>
    <w:rsid w:val="00BE2FAF"/>
    <w:rsid w:val="00BE5113"/>
    <w:rsid w:val="00BE54D4"/>
    <w:rsid w:val="00BE73AA"/>
    <w:rsid w:val="00BE7A53"/>
    <w:rsid w:val="00BF1278"/>
    <w:rsid w:val="00BF396D"/>
    <w:rsid w:val="00BF750D"/>
    <w:rsid w:val="00C01649"/>
    <w:rsid w:val="00C02FF2"/>
    <w:rsid w:val="00C0307E"/>
    <w:rsid w:val="00C03A95"/>
    <w:rsid w:val="00C04A8E"/>
    <w:rsid w:val="00C05645"/>
    <w:rsid w:val="00C05B43"/>
    <w:rsid w:val="00C10BD1"/>
    <w:rsid w:val="00C11B30"/>
    <w:rsid w:val="00C12213"/>
    <w:rsid w:val="00C12E2F"/>
    <w:rsid w:val="00C13698"/>
    <w:rsid w:val="00C14E65"/>
    <w:rsid w:val="00C15337"/>
    <w:rsid w:val="00C1575D"/>
    <w:rsid w:val="00C1709C"/>
    <w:rsid w:val="00C205F8"/>
    <w:rsid w:val="00C2084A"/>
    <w:rsid w:val="00C2113E"/>
    <w:rsid w:val="00C21584"/>
    <w:rsid w:val="00C2179E"/>
    <w:rsid w:val="00C21985"/>
    <w:rsid w:val="00C22537"/>
    <w:rsid w:val="00C22D32"/>
    <w:rsid w:val="00C22D98"/>
    <w:rsid w:val="00C2499C"/>
    <w:rsid w:val="00C251A3"/>
    <w:rsid w:val="00C25E88"/>
    <w:rsid w:val="00C27232"/>
    <w:rsid w:val="00C305B7"/>
    <w:rsid w:val="00C309C4"/>
    <w:rsid w:val="00C31DE7"/>
    <w:rsid w:val="00C33C4D"/>
    <w:rsid w:val="00C34BEA"/>
    <w:rsid w:val="00C368B6"/>
    <w:rsid w:val="00C411A1"/>
    <w:rsid w:val="00C41C70"/>
    <w:rsid w:val="00C4452C"/>
    <w:rsid w:val="00C44D3F"/>
    <w:rsid w:val="00C45BEA"/>
    <w:rsid w:val="00C46400"/>
    <w:rsid w:val="00C47620"/>
    <w:rsid w:val="00C51A2E"/>
    <w:rsid w:val="00C53350"/>
    <w:rsid w:val="00C5461E"/>
    <w:rsid w:val="00C54B52"/>
    <w:rsid w:val="00C567F9"/>
    <w:rsid w:val="00C63EF0"/>
    <w:rsid w:val="00C64660"/>
    <w:rsid w:val="00C65899"/>
    <w:rsid w:val="00C65CD4"/>
    <w:rsid w:val="00C671AE"/>
    <w:rsid w:val="00C72449"/>
    <w:rsid w:val="00C72582"/>
    <w:rsid w:val="00C75361"/>
    <w:rsid w:val="00C764A4"/>
    <w:rsid w:val="00C765E6"/>
    <w:rsid w:val="00C802F9"/>
    <w:rsid w:val="00C82CE2"/>
    <w:rsid w:val="00C8325F"/>
    <w:rsid w:val="00C86A8D"/>
    <w:rsid w:val="00C9045C"/>
    <w:rsid w:val="00C906CF"/>
    <w:rsid w:val="00C9222A"/>
    <w:rsid w:val="00C97DFD"/>
    <w:rsid w:val="00CA08F2"/>
    <w:rsid w:val="00CA336C"/>
    <w:rsid w:val="00CA3392"/>
    <w:rsid w:val="00CA5D47"/>
    <w:rsid w:val="00CA61F8"/>
    <w:rsid w:val="00CA7843"/>
    <w:rsid w:val="00CB0101"/>
    <w:rsid w:val="00CB1002"/>
    <w:rsid w:val="00CB1A1B"/>
    <w:rsid w:val="00CB473B"/>
    <w:rsid w:val="00CB5257"/>
    <w:rsid w:val="00CB53BC"/>
    <w:rsid w:val="00CB67C6"/>
    <w:rsid w:val="00CB680B"/>
    <w:rsid w:val="00CB7666"/>
    <w:rsid w:val="00CB7B51"/>
    <w:rsid w:val="00CB7C3B"/>
    <w:rsid w:val="00CB7DC1"/>
    <w:rsid w:val="00CC16E7"/>
    <w:rsid w:val="00CC1B01"/>
    <w:rsid w:val="00CC251B"/>
    <w:rsid w:val="00CC2B51"/>
    <w:rsid w:val="00CC4899"/>
    <w:rsid w:val="00CC6895"/>
    <w:rsid w:val="00CC7C6F"/>
    <w:rsid w:val="00CD1827"/>
    <w:rsid w:val="00CD3B7A"/>
    <w:rsid w:val="00CD4A6D"/>
    <w:rsid w:val="00CD4B2A"/>
    <w:rsid w:val="00CD50BF"/>
    <w:rsid w:val="00CD52AC"/>
    <w:rsid w:val="00CD7009"/>
    <w:rsid w:val="00CD76D8"/>
    <w:rsid w:val="00CE2AF0"/>
    <w:rsid w:val="00CE3A0E"/>
    <w:rsid w:val="00CE3ED4"/>
    <w:rsid w:val="00CE5191"/>
    <w:rsid w:val="00CE681C"/>
    <w:rsid w:val="00CE6B0D"/>
    <w:rsid w:val="00CE7220"/>
    <w:rsid w:val="00CF22FF"/>
    <w:rsid w:val="00CF434F"/>
    <w:rsid w:val="00D007F5"/>
    <w:rsid w:val="00D02BEE"/>
    <w:rsid w:val="00D03043"/>
    <w:rsid w:val="00D03A6A"/>
    <w:rsid w:val="00D04F07"/>
    <w:rsid w:val="00D07BE4"/>
    <w:rsid w:val="00D07CBD"/>
    <w:rsid w:val="00D13C27"/>
    <w:rsid w:val="00D14618"/>
    <w:rsid w:val="00D15C6A"/>
    <w:rsid w:val="00D17473"/>
    <w:rsid w:val="00D17566"/>
    <w:rsid w:val="00D1760A"/>
    <w:rsid w:val="00D24505"/>
    <w:rsid w:val="00D27764"/>
    <w:rsid w:val="00D30E7F"/>
    <w:rsid w:val="00D30FBF"/>
    <w:rsid w:val="00D312E3"/>
    <w:rsid w:val="00D31612"/>
    <w:rsid w:val="00D341C1"/>
    <w:rsid w:val="00D34E19"/>
    <w:rsid w:val="00D355F2"/>
    <w:rsid w:val="00D4082D"/>
    <w:rsid w:val="00D42530"/>
    <w:rsid w:val="00D43EEC"/>
    <w:rsid w:val="00D45758"/>
    <w:rsid w:val="00D51312"/>
    <w:rsid w:val="00D52059"/>
    <w:rsid w:val="00D52C3E"/>
    <w:rsid w:val="00D557BC"/>
    <w:rsid w:val="00D56FCD"/>
    <w:rsid w:val="00D57136"/>
    <w:rsid w:val="00D6059F"/>
    <w:rsid w:val="00D61834"/>
    <w:rsid w:val="00D63040"/>
    <w:rsid w:val="00D657CC"/>
    <w:rsid w:val="00D67D8B"/>
    <w:rsid w:val="00D752F2"/>
    <w:rsid w:val="00D805F4"/>
    <w:rsid w:val="00D8070A"/>
    <w:rsid w:val="00D809C1"/>
    <w:rsid w:val="00D81CB4"/>
    <w:rsid w:val="00D82235"/>
    <w:rsid w:val="00D82331"/>
    <w:rsid w:val="00D83167"/>
    <w:rsid w:val="00D83441"/>
    <w:rsid w:val="00D84366"/>
    <w:rsid w:val="00D84506"/>
    <w:rsid w:val="00D84520"/>
    <w:rsid w:val="00D84C17"/>
    <w:rsid w:val="00D84CE7"/>
    <w:rsid w:val="00D85DA1"/>
    <w:rsid w:val="00D90AFF"/>
    <w:rsid w:val="00D90EFD"/>
    <w:rsid w:val="00D91E72"/>
    <w:rsid w:val="00D92E4E"/>
    <w:rsid w:val="00D9659E"/>
    <w:rsid w:val="00D96C60"/>
    <w:rsid w:val="00DA109E"/>
    <w:rsid w:val="00DA2370"/>
    <w:rsid w:val="00DA28FB"/>
    <w:rsid w:val="00DA432C"/>
    <w:rsid w:val="00DA46F2"/>
    <w:rsid w:val="00DA49C0"/>
    <w:rsid w:val="00DA4EA3"/>
    <w:rsid w:val="00DA56D1"/>
    <w:rsid w:val="00DA7ADA"/>
    <w:rsid w:val="00DA7C04"/>
    <w:rsid w:val="00DB14CD"/>
    <w:rsid w:val="00DB1722"/>
    <w:rsid w:val="00DB22AC"/>
    <w:rsid w:val="00DB7752"/>
    <w:rsid w:val="00DC191A"/>
    <w:rsid w:val="00DC661A"/>
    <w:rsid w:val="00DC7664"/>
    <w:rsid w:val="00DD0D14"/>
    <w:rsid w:val="00DD0EEB"/>
    <w:rsid w:val="00DD16E2"/>
    <w:rsid w:val="00DD3148"/>
    <w:rsid w:val="00DD3B93"/>
    <w:rsid w:val="00DD5406"/>
    <w:rsid w:val="00DD65B8"/>
    <w:rsid w:val="00DE0A14"/>
    <w:rsid w:val="00DE10B1"/>
    <w:rsid w:val="00DE5099"/>
    <w:rsid w:val="00DE7C0C"/>
    <w:rsid w:val="00DE7DDE"/>
    <w:rsid w:val="00DE7E02"/>
    <w:rsid w:val="00DF09E6"/>
    <w:rsid w:val="00DF280D"/>
    <w:rsid w:val="00DF3842"/>
    <w:rsid w:val="00DF3957"/>
    <w:rsid w:val="00DF3D25"/>
    <w:rsid w:val="00DF75D6"/>
    <w:rsid w:val="00E02431"/>
    <w:rsid w:val="00E05964"/>
    <w:rsid w:val="00E05A4A"/>
    <w:rsid w:val="00E073E0"/>
    <w:rsid w:val="00E07B69"/>
    <w:rsid w:val="00E10A8F"/>
    <w:rsid w:val="00E11110"/>
    <w:rsid w:val="00E12154"/>
    <w:rsid w:val="00E1316A"/>
    <w:rsid w:val="00E13456"/>
    <w:rsid w:val="00E137FF"/>
    <w:rsid w:val="00E13C19"/>
    <w:rsid w:val="00E13CCA"/>
    <w:rsid w:val="00E15DE3"/>
    <w:rsid w:val="00E1684F"/>
    <w:rsid w:val="00E16861"/>
    <w:rsid w:val="00E209B0"/>
    <w:rsid w:val="00E20BFF"/>
    <w:rsid w:val="00E213D0"/>
    <w:rsid w:val="00E218BA"/>
    <w:rsid w:val="00E22828"/>
    <w:rsid w:val="00E23157"/>
    <w:rsid w:val="00E25415"/>
    <w:rsid w:val="00E2669A"/>
    <w:rsid w:val="00E273D3"/>
    <w:rsid w:val="00E27FE4"/>
    <w:rsid w:val="00E30F9E"/>
    <w:rsid w:val="00E31156"/>
    <w:rsid w:val="00E33A1A"/>
    <w:rsid w:val="00E35525"/>
    <w:rsid w:val="00E35E43"/>
    <w:rsid w:val="00E37373"/>
    <w:rsid w:val="00E37B30"/>
    <w:rsid w:val="00E37EC0"/>
    <w:rsid w:val="00E43746"/>
    <w:rsid w:val="00E43FA1"/>
    <w:rsid w:val="00E4428E"/>
    <w:rsid w:val="00E44539"/>
    <w:rsid w:val="00E45246"/>
    <w:rsid w:val="00E45374"/>
    <w:rsid w:val="00E50598"/>
    <w:rsid w:val="00E54B85"/>
    <w:rsid w:val="00E54FCA"/>
    <w:rsid w:val="00E55240"/>
    <w:rsid w:val="00E55BDB"/>
    <w:rsid w:val="00E5611D"/>
    <w:rsid w:val="00E56E7B"/>
    <w:rsid w:val="00E6656E"/>
    <w:rsid w:val="00E66E04"/>
    <w:rsid w:val="00E71212"/>
    <w:rsid w:val="00E71618"/>
    <w:rsid w:val="00E71E51"/>
    <w:rsid w:val="00E72641"/>
    <w:rsid w:val="00E74349"/>
    <w:rsid w:val="00E74EDE"/>
    <w:rsid w:val="00E76E4C"/>
    <w:rsid w:val="00E805D6"/>
    <w:rsid w:val="00E84A38"/>
    <w:rsid w:val="00E84A7A"/>
    <w:rsid w:val="00E867C6"/>
    <w:rsid w:val="00E868B9"/>
    <w:rsid w:val="00E87824"/>
    <w:rsid w:val="00E878F5"/>
    <w:rsid w:val="00E9180B"/>
    <w:rsid w:val="00E93790"/>
    <w:rsid w:val="00E943FC"/>
    <w:rsid w:val="00E94737"/>
    <w:rsid w:val="00E94B2C"/>
    <w:rsid w:val="00E94EA5"/>
    <w:rsid w:val="00E96766"/>
    <w:rsid w:val="00E97F1C"/>
    <w:rsid w:val="00EA1EC8"/>
    <w:rsid w:val="00EA1F08"/>
    <w:rsid w:val="00EA56EE"/>
    <w:rsid w:val="00EA597A"/>
    <w:rsid w:val="00EA6AE9"/>
    <w:rsid w:val="00EA7898"/>
    <w:rsid w:val="00EB4826"/>
    <w:rsid w:val="00EB4C61"/>
    <w:rsid w:val="00EB4DEE"/>
    <w:rsid w:val="00EC06B5"/>
    <w:rsid w:val="00EC0DE1"/>
    <w:rsid w:val="00EC5306"/>
    <w:rsid w:val="00EC7314"/>
    <w:rsid w:val="00ED2293"/>
    <w:rsid w:val="00ED5C95"/>
    <w:rsid w:val="00ED6C8C"/>
    <w:rsid w:val="00ED73EA"/>
    <w:rsid w:val="00ED76D3"/>
    <w:rsid w:val="00EE0BFC"/>
    <w:rsid w:val="00EE3713"/>
    <w:rsid w:val="00EE714A"/>
    <w:rsid w:val="00EF72CC"/>
    <w:rsid w:val="00F04437"/>
    <w:rsid w:val="00F04B83"/>
    <w:rsid w:val="00F123C3"/>
    <w:rsid w:val="00F1265E"/>
    <w:rsid w:val="00F12A40"/>
    <w:rsid w:val="00F12F5B"/>
    <w:rsid w:val="00F14A6C"/>
    <w:rsid w:val="00F16282"/>
    <w:rsid w:val="00F215D8"/>
    <w:rsid w:val="00F21847"/>
    <w:rsid w:val="00F22656"/>
    <w:rsid w:val="00F235F3"/>
    <w:rsid w:val="00F2517B"/>
    <w:rsid w:val="00F27671"/>
    <w:rsid w:val="00F30FCE"/>
    <w:rsid w:val="00F31592"/>
    <w:rsid w:val="00F32420"/>
    <w:rsid w:val="00F33817"/>
    <w:rsid w:val="00F33931"/>
    <w:rsid w:val="00F33BBB"/>
    <w:rsid w:val="00F35011"/>
    <w:rsid w:val="00F35A13"/>
    <w:rsid w:val="00F41B6D"/>
    <w:rsid w:val="00F4408D"/>
    <w:rsid w:val="00F44BB2"/>
    <w:rsid w:val="00F45795"/>
    <w:rsid w:val="00F47635"/>
    <w:rsid w:val="00F51553"/>
    <w:rsid w:val="00F525B5"/>
    <w:rsid w:val="00F550E4"/>
    <w:rsid w:val="00F56715"/>
    <w:rsid w:val="00F56969"/>
    <w:rsid w:val="00F57521"/>
    <w:rsid w:val="00F60FB3"/>
    <w:rsid w:val="00F621FC"/>
    <w:rsid w:val="00F64A16"/>
    <w:rsid w:val="00F64C59"/>
    <w:rsid w:val="00F66343"/>
    <w:rsid w:val="00F66D44"/>
    <w:rsid w:val="00F67A98"/>
    <w:rsid w:val="00F70437"/>
    <w:rsid w:val="00F712C1"/>
    <w:rsid w:val="00F719B5"/>
    <w:rsid w:val="00F7314F"/>
    <w:rsid w:val="00F73D3D"/>
    <w:rsid w:val="00F81863"/>
    <w:rsid w:val="00F83CEB"/>
    <w:rsid w:val="00F850F4"/>
    <w:rsid w:val="00F90D41"/>
    <w:rsid w:val="00F91B12"/>
    <w:rsid w:val="00F91CEE"/>
    <w:rsid w:val="00F9215C"/>
    <w:rsid w:val="00F9221F"/>
    <w:rsid w:val="00F949CC"/>
    <w:rsid w:val="00FA0C46"/>
    <w:rsid w:val="00FA21F5"/>
    <w:rsid w:val="00FA2603"/>
    <w:rsid w:val="00FA3756"/>
    <w:rsid w:val="00FA7284"/>
    <w:rsid w:val="00FA757E"/>
    <w:rsid w:val="00FB0109"/>
    <w:rsid w:val="00FB040D"/>
    <w:rsid w:val="00FB1AD1"/>
    <w:rsid w:val="00FB2501"/>
    <w:rsid w:val="00FB3490"/>
    <w:rsid w:val="00FB6E5D"/>
    <w:rsid w:val="00FB76AC"/>
    <w:rsid w:val="00FC037B"/>
    <w:rsid w:val="00FC0D6D"/>
    <w:rsid w:val="00FC371C"/>
    <w:rsid w:val="00FC554C"/>
    <w:rsid w:val="00FC5A5F"/>
    <w:rsid w:val="00FC6F3A"/>
    <w:rsid w:val="00FC6F3C"/>
    <w:rsid w:val="00FD0E8B"/>
    <w:rsid w:val="00FD1039"/>
    <w:rsid w:val="00FD1407"/>
    <w:rsid w:val="00FD1E59"/>
    <w:rsid w:val="00FE08D1"/>
    <w:rsid w:val="00FE1037"/>
    <w:rsid w:val="00FE1C0B"/>
    <w:rsid w:val="00FE2183"/>
    <w:rsid w:val="00FE3F05"/>
    <w:rsid w:val="00FE560B"/>
    <w:rsid w:val="00FE571D"/>
    <w:rsid w:val="00FE6D64"/>
    <w:rsid w:val="00FE73C7"/>
    <w:rsid w:val="00FF1BD9"/>
    <w:rsid w:val="00FF2919"/>
    <w:rsid w:val="00FF2C11"/>
    <w:rsid w:val="00FF3D11"/>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30B56"/>
  <w15:docId w15:val="{D25F9AE4-1C90-463F-B04A-06B15397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A1B"/>
    <w:rPr>
      <w:sz w:val="24"/>
      <w:szCs w:val="24"/>
      <w:lang w:eastAsia="en-US"/>
    </w:rPr>
  </w:style>
  <w:style w:type="paragraph" w:styleId="1">
    <w:name w:val="heading 1"/>
    <w:basedOn w:val="a"/>
    <w:link w:val="10"/>
    <w:uiPriority w:val="9"/>
    <w:qFormat/>
    <w:rsid w:val="00CB1A1B"/>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CB1A1B"/>
    <w:pPr>
      <w:keepNext/>
      <w:autoSpaceDE w:val="0"/>
      <w:autoSpaceDN w:val="0"/>
      <w:adjustRightInd w:val="0"/>
      <w:outlineLvl w:val="1"/>
    </w:pPr>
    <w:rPr>
      <w:rFonts w:ascii="TimesNewRoman,Italic" w:eastAsia="TimesNewRoman,Italic"/>
      <w:i/>
      <w:iCs/>
      <w:sz w:val="22"/>
      <w:szCs w:val="22"/>
      <w:u w:val="single"/>
    </w:rPr>
  </w:style>
  <w:style w:type="paragraph" w:styleId="3">
    <w:name w:val="heading 3"/>
    <w:basedOn w:val="a"/>
    <w:next w:val="a"/>
    <w:link w:val="30"/>
    <w:uiPriority w:val="99"/>
    <w:qFormat/>
    <w:rsid w:val="00CB1A1B"/>
    <w:pPr>
      <w:keepNext/>
      <w:suppressAutoHyphens/>
      <w:jc w:val="both"/>
      <w:outlineLvl w:val="2"/>
    </w:pPr>
    <w:rPr>
      <w:bCs/>
      <w:u w:val="single"/>
    </w:rPr>
  </w:style>
  <w:style w:type="paragraph" w:styleId="4">
    <w:name w:val="heading 4"/>
    <w:basedOn w:val="a"/>
    <w:link w:val="40"/>
    <w:uiPriority w:val="99"/>
    <w:qFormat/>
    <w:rsid w:val="00CB1A1B"/>
    <w:pPr>
      <w:spacing w:before="100" w:beforeAutospacing="1" w:after="100" w:afterAutospacing="1"/>
      <w:outlineLvl w:val="3"/>
    </w:pPr>
    <w:rPr>
      <w:b/>
      <w:bCs/>
    </w:rPr>
  </w:style>
  <w:style w:type="paragraph" w:styleId="5">
    <w:name w:val="heading 5"/>
    <w:basedOn w:val="a"/>
    <w:next w:val="a"/>
    <w:link w:val="50"/>
    <w:uiPriority w:val="99"/>
    <w:qFormat/>
    <w:rsid w:val="00CB1A1B"/>
    <w:pPr>
      <w:keepNext/>
      <w:suppressAutoHyphens/>
      <w:jc w:val="both"/>
      <w:outlineLvl w:val="4"/>
    </w:pPr>
    <w:rPr>
      <w:bCs/>
      <w:i/>
      <w:iCs/>
      <w:u w:val="single"/>
    </w:rPr>
  </w:style>
  <w:style w:type="paragraph" w:styleId="6">
    <w:name w:val="heading 6"/>
    <w:basedOn w:val="a"/>
    <w:next w:val="a"/>
    <w:link w:val="60"/>
    <w:uiPriority w:val="99"/>
    <w:qFormat/>
    <w:rsid w:val="00CB1A1B"/>
    <w:pPr>
      <w:keepNext/>
      <w:outlineLvl w:val="5"/>
    </w:pPr>
    <w:rPr>
      <w:i/>
      <w:iCs/>
      <w:u w:val="single"/>
    </w:rPr>
  </w:style>
  <w:style w:type="paragraph" w:styleId="8">
    <w:name w:val="heading 8"/>
    <w:basedOn w:val="a"/>
    <w:next w:val="a"/>
    <w:link w:val="80"/>
    <w:semiHidden/>
    <w:unhideWhenUsed/>
    <w:qFormat/>
    <w:locked/>
    <w:rsid w:val="00E94B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1710"/>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901710"/>
    <w:rPr>
      <w:rFonts w:ascii="Cambria" w:hAnsi="Cambria" w:cs="Times New Roman"/>
      <w:b/>
      <w:bCs/>
      <w:i/>
      <w:iCs/>
      <w:sz w:val="28"/>
      <w:szCs w:val="28"/>
      <w:lang w:val="en-US" w:eastAsia="en-US"/>
    </w:rPr>
  </w:style>
  <w:style w:type="character" w:customStyle="1" w:styleId="30">
    <w:name w:val="Заголовок 3 Знак"/>
    <w:basedOn w:val="a0"/>
    <w:link w:val="3"/>
    <w:uiPriority w:val="99"/>
    <w:semiHidden/>
    <w:locked/>
    <w:rsid w:val="00901710"/>
    <w:rPr>
      <w:rFonts w:ascii="Cambria" w:hAnsi="Cambria" w:cs="Times New Roman"/>
      <w:b/>
      <w:bCs/>
      <w:sz w:val="26"/>
      <w:szCs w:val="26"/>
      <w:lang w:val="en-US" w:eastAsia="en-US"/>
    </w:rPr>
  </w:style>
  <w:style w:type="character" w:customStyle="1" w:styleId="40">
    <w:name w:val="Заголовок 4 Знак"/>
    <w:basedOn w:val="a0"/>
    <w:link w:val="4"/>
    <w:uiPriority w:val="99"/>
    <w:semiHidden/>
    <w:locked/>
    <w:rsid w:val="00901710"/>
    <w:rPr>
      <w:rFonts w:ascii="Calibri" w:hAnsi="Calibri" w:cs="Times New Roman"/>
      <w:b/>
      <w:bCs/>
      <w:sz w:val="28"/>
      <w:szCs w:val="28"/>
      <w:lang w:val="en-US" w:eastAsia="en-US"/>
    </w:rPr>
  </w:style>
  <w:style w:type="character" w:customStyle="1" w:styleId="50">
    <w:name w:val="Заголовок 5 Знак"/>
    <w:basedOn w:val="a0"/>
    <w:link w:val="5"/>
    <w:uiPriority w:val="99"/>
    <w:semiHidden/>
    <w:locked/>
    <w:rsid w:val="00901710"/>
    <w:rPr>
      <w:rFonts w:ascii="Calibri" w:hAnsi="Calibri" w:cs="Times New Roman"/>
      <w:b/>
      <w:bCs/>
      <w:i/>
      <w:iCs/>
      <w:sz w:val="26"/>
      <w:szCs w:val="26"/>
      <w:lang w:val="en-US" w:eastAsia="en-US"/>
    </w:rPr>
  </w:style>
  <w:style w:type="character" w:customStyle="1" w:styleId="60">
    <w:name w:val="Заголовок 6 Знак"/>
    <w:basedOn w:val="a0"/>
    <w:link w:val="6"/>
    <w:uiPriority w:val="99"/>
    <w:semiHidden/>
    <w:locked/>
    <w:rsid w:val="00901710"/>
    <w:rPr>
      <w:rFonts w:ascii="Calibri" w:hAnsi="Calibri" w:cs="Times New Roman"/>
      <w:b/>
      <w:bCs/>
      <w:lang w:val="en-US" w:eastAsia="en-US"/>
    </w:rPr>
  </w:style>
  <w:style w:type="character" w:styleId="a3">
    <w:name w:val="Hyperlink"/>
    <w:basedOn w:val="a0"/>
    <w:uiPriority w:val="99"/>
    <w:rsid w:val="00CB1A1B"/>
    <w:rPr>
      <w:rFonts w:cs="Times New Roman"/>
      <w:color w:val="0000FF"/>
      <w:u w:val="single"/>
    </w:rPr>
  </w:style>
  <w:style w:type="paragraph" w:styleId="a4">
    <w:name w:val="Normal (Web)"/>
    <w:basedOn w:val="a"/>
    <w:rsid w:val="00CB1A1B"/>
    <w:pPr>
      <w:spacing w:before="100" w:beforeAutospacing="1" w:after="100" w:afterAutospacing="1"/>
    </w:pPr>
  </w:style>
  <w:style w:type="paragraph" w:styleId="a5">
    <w:name w:val="footer"/>
    <w:basedOn w:val="a"/>
    <w:link w:val="a6"/>
    <w:uiPriority w:val="99"/>
    <w:rsid w:val="00CB1A1B"/>
    <w:pPr>
      <w:tabs>
        <w:tab w:val="center" w:pos="4844"/>
        <w:tab w:val="right" w:pos="9689"/>
      </w:tabs>
    </w:pPr>
  </w:style>
  <w:style w:type="character" w:customStyle="1" w:styleId="a6">
    <w:name w:val="Нижний колонтитул Знак"/>
    <w:basedOn w:val="a0"/>
    <w:link w:val="a5"/>
    <w:uiPriority w:val="99"/>
    <w:semiHidden/>
    <w:locked/>
    <w:rsid w:val="00901710"/>
    <w:rPr>
      <w:rFonts w:cs="Times New Roman"/>
      <w:sz w:val="24"/>
      <w:szCs w:val="24"/>
      <w:lang w:val="en-US" w:eastAsia="en-US"/>
    </w:rPr>
  </w:style>
  <w:style w:type="character" w:styleId="a7">
    <w:name w:val="page number"/>
    <w:basedOn w:val="a0"/>
    <w:uiPriority w:val="99"/>
    <w:rsid w:val="00CB1A1B"/>
    <w:rPr>
      <w:rFonts w:cs="Times New Roman"/>
    </w:rPr>
  </w:style>
  <w:style w:type="character" w:customStyle="1" w:styleId="CDSOptionalconceptsChar">
    <w:name w:val="CDS Optional concepts Char"/>
    <w:basedOn w:val="a0"/>
    <w:link w:val="CDSOptionalconcepts"/>
    <w:uiPriority w:val="99"/>
    <w:locked/>
    <w:rsid w:val="00CB1A1B"/>
    <w:rPr>
      <w:sz w:val="22"/>
      <w:lang w:val="en-US" w:eastAsia="en-US" w:bidi="ar-SA"/>
    </w:rPr>
  </w:style>
  <w:style w:type="paragraph" w:styleId="a8">
    <w:name w:val="Document Map"/>
    <w:basedOn w:val="a"/>
    <w:link w:val="a9"/>
    <w:uiPriority w:val="99"/>
    <w:semiHidden/>
    <w:rsid w:val="00CB1A1B"/>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901710"/>
    <w:rPr>
      <w:rFonts w:cs="Times New Roman"/>
      <w:sz w:val="2"/>
      <w:lang w:val="en-US" w:eastAsia="en-US"/>
    </w:rPr>
  </w:style>
  <w:style w:type="paragraph" w:styleId="aa">
    <w:name w:val="header"/>
    <w:basedOn w:val="a"/>
    <w:link w:val="ab"/>
    <w:uiPriority w:val="99"/>
    <w:rsid w:val="00CB1A1B"/>
    <w:pPr>
      <w:tabs>
        <w:tab w:val="center" w:pos="4677"/>
        <w:tab w:val="right" w:pos="9355"/>
      </w:tabs>
    </w:pPr>
  </w:style>
  <w:style w:type="character" w:customStyle="1" w:styleId="ab">
    <w:name w:val="Верхний колонтитул Знак"/>
    <w:basedOn w:val="a0"/>
    <w:link w:val="aa"/>
    <w:uiPriority w:val="99"/>
    <w:semiHidden/>
    <w:locked/>
    <w:rsid w:val="00901710"/>
    <w:rPr>
      <w:rFonts w:cs="Times New Roman"/>
      <w:sz w:val="24"/>
      <w:szCs w:val="24"/>
      <w:lang w:val="en-US" w:eastAsia="en-US"/>
    </w:rPr>
  </w:style>
  <w:style w:type="paragraph" w:customStyle="1" w:styleId="anything">
    <w:name w:val="anything"/>
    <w:basedOn w:val="ac"/>
    <w:rsid w:val="00CB1A1B"/>
    <w:pPr>
      <w:widowControl w:val="0"/>
      <w:tabs>
        <w:tab w:val="clear" w:pos="360"/>
      </w:tabs>
    </w:pPr>
    <w:rPr>
      <w:sz w:val="22"/>
      <w:szCs w:val="20"/>
      <w:lang w:val="nl-NL"/>
    </w:rPr>
  </w:style>
  <w:style w:type="paragraph" w:styleId="ac">
    <w:name w:val="List Bullet"/>
    <w:basedOn w:val="a"/>
    <w:uiPriority w:val="99"/>
    <w:rsid w:val="00CB1A1B"/>
    <w:pPr>
      <w:tabs>
        <w:tab w:val="num" w:pos="360"/>
      </w:tabs>
    </w:pPr>
  </w:style>
  <w:style w:type="character" w:styleId="ad">
    <w:name w:val="annotation reference"/>
    <w:basedOn w:val="a0"/>
    <w:uiPriority w:val="99"/>
    <w:semiHidden/>
    <w:rsid w:val="00CB1A1B"/>
    <w:rPr>
      <w:rFonts w:cs="Times New Roman"/>
      <w:sz w:val="16"/>
      <w:szCs w:val="16"/>
    </w:rPr>
  </w:style>
  <w:style w:type="paragraph" w:styleId="ae">
    <w:name w:val="annotation text"/>
    <w:basedOn w:val="a"/>
    <w:link w:val="af"/>
    <w:rsid w:val="00CB1A1B"/>
    <w:rPr>
      <w:sz w:val="20"/>
      <w:szCs w:val="20"/>
    </w:rPr>
  </w:style>
  <w:style w:type="character" w:customStyle="1" w:styleId="af">
    <w:name w:val="Текст примечания Знак"/>
    <w:basedOn w:val="a0"/>
    <w:link w:val="ae"/>
    <w:locked/>
    <w:rsid w:val="001B3404"/>
    <w:rPr>
      <w:rFonts w:cs="Times New Roman"/>
      <w:lang w:val="en-US" w:eastAsia="en-US" w:bidi="ar-SA"/>
    </w:rPr>
  </w:style>
  <w:style w:type="paragraph" w:styleId="af0">
    <w:name w:val="annotation subject"/>
    <w:basedOn w:val="ae"/>
    <w:next w:val="ae"/>
    <w:link w:val="af1"/>
    <w:uiPriority w:val="99"/>
    <w:semiHidden/>
    <w:rsid w:val="00CB1A1B"/>
    <w:rPr>
      <w:b/>
      <w:bCs/>
    </w:rPr>
  </w:style>
  <w:style w:type="character" w:customStyle="1" w:styleId="af1">
    <w:name w:val="Тема примечания Знак"/>
    <w:basedOn w:val="af"/>
    <w:link w:val="af0"/>
    <w:uiPriority w:val="99"/>
    <w:semiHidden/>
    <w:locked/>
    <w:rsid w:val="00901710"/>
    <w:rPr>
      <w:rFonts w:cs="Times New Roman"/>
      <w:b/>
      <w:bCs/>
      <w:sz w:val="20"/>
      <w:szCs w:val="20"/>
      <w:lang w:val="en-US" w:eastAsia="en-US" w:bidi="ar-SA"/>
    </w:rPr>
  </w:style>
  <w:style w:type="paragraph" w:styleId="af2">
    <w:name w:val="Balloon Text"/>
    <w:basedOn w:val="a"/>
    <w:link w:val="af3"/>
    <w:uiPriority w:val="99"/>
    <w:semiHidden/>
    <w:rsid w:val="00CB1A1B"/>
    <w:rPr>
      <w:rFonts w:ascii="Tahoma" w:hAnsi="Tahoma" w:cs="Tahoma"/>
      <w:sz w:val="16"/>
      <w:szCs w:val="16"/>
    </w:rPr>
  </w:style>
  <w:style w:type="character" w:customStyle="1" w:styleId="af3">
    <w:name w:val="Текст выноски Знак"/>
    <w:basedOn w:val="a0"/>
    <w:link w:val="af2"/>
    <w:uiPriority w:val="99"/>
    <w:semiHidden/>
    <w:locked/>
    <w:rsid w:val="00901710"/>
    <w:rPr>
      <w:rFonts w:cs="Times New Roman"/>
      <w:sz w:val="2"/>
      <w:lang w:val="en-US" w:eastAsia="en-US"/>
    </w:rPr>
  </w:style>
  <w:style w:type="paragraph" w:styleId="af4">
    <w:name w:val="Body Text"/>
    <w:aliases w:val="Body Text Hang,BT,bt,Bullet Level 5,Body Hang,Body Text Char1,Body Text Char Char,Body Text Char1 Char1 Char,Body Text Char Char Char1 Char,Char Char Char Char1 Char,Body Text Char Char1 Char Char Char,Body Text Char1 Char Char Char"/>
    <w:basedOn w:val="a"/>
    <w:link w:val="af5"/>
    <w:uiPriority w:val="99"/>
    <w:rsid w:val="00CB1A1B"/>
    <w:pPr>
      <w:spacing w:line="312" w:lineRule="auto"/>
    </w:pPr>
    <w:rPr>
      <w:szCs w:val="20"/>
    </w:rPr>
  </w:style>
  <w:style w:type="character" w:customStyle="1" w:styleId="af5">
    <w:name w:val="Основной текст Знак"/>
    <w:aliases w:val="Body Text Hang Знак,BT Знак,bt Знак,Bullet Level 5 Знак,Body Hang Знак,Body Text Char1 Знак,Body Text Char Char Знак,Body Text Char1 Char1 Char Знак,Body Text Char Char Char1 Char Знак,Char Char Char Char1 Char Знак"/>
    <w:basedOn w:val="a0"/>
    <w:link w:val="af4"/>
    <w:uiPriority w:val="99"/>
    <w:semiHidden/>
    <w:locked/>
    <w:rsid w:val="00901710"/>
    <w:rPr>
      <w:rFonts w:cs="Times New Roman"/>
      <w:sz w:val="24"/>
      <w:szCs w:val="24"/>
      <w:lang w:val="en-US" w:eastAsia="en-US"/>
    </w:rPr>
  </w:style>
  <w:style w:type="character" w:styleId="af6">
    <w:name w:val="Emphasis"/>
    <w:basedOn w:val="a0"/>
    <w:uiPriority w:val="99"/>
    <w:qFormat/>
    <w:rsid w:val="00CB1A1B"/>
    <w:rPr>
      <w:rFonts w:cs="Times New Roman"/>
      <w:b/>
      <w:bCs/>
    </w:rPr>
  </w:style>
  <w:style w:type="paragraph" w:customStyle="1" w:styleId="CDSMandatorysafetyconcepts">
    <w:name w:val="CDS Mandatory safety concepts"/>
    <w:link w:val="CDSMandatorysafetyconceptsChar"/>
    <w:uiPriority w:val="99"/>
    <w:rsid w:val="00CB1A1B"/>
    <w:rPr>
      <w:b/>
      <w:sz w:val="22"/>
      <w:lang w:eastAsia="en-US"/>
    </w:rPr>
  </w:style>
  <w:style w:type="character" w:styleId="af7">
    <w:name w:val="endnote reference"/>
    <w:basedOn w:val="a0"/>
    <w:uiPriority w:val="99"/>
    <w:rsid w:val="00CB1A1B"/>
    <w:rPr>
      <w:rFonts w:ascii="Times New Roman" w:hAnsi="Times New Roman" w:cs="Times New Roman"/>
      <w:sz w:val="24"/>
      <w:vertAlign w:val="superscript"/>
    </w:rPr>
  </w:style>
  <w:style w:type="paragraph" w:styleId="af8">
    <w:name w:val="endnote text"/>
    <w:basedOn w:val="a"/>
    <w:link w:val="af9"/>
    <w:uiPriority w:val="99"/>
    <w:semiHidden/>
    <w:rsid w:val="00CB1A1B"/>
    <w:pPr>
      <w:widowControl w:val="0"/>
    </w:pPr>
    <w:rPr>
      <w:sz w:val="22"/>
      <w:szCs w:val="20"/>
    </w:rPr>
  </w:style>
  <w:style w:type="character" w:customStyle="1" w:styleId="af9">
    <w:name w:val="Текст концевой сноски Знак"/>
    <w:basedOn w:val="a0"/>
    <w:link w:val="af8"/>
    <w:uiPriority w:val="99"/>
    <w:semiHidden/>
    <w:locked/>
    <w:rsid w:val="00901710"/>
    <w:rPr>
      <w:rFonts w:cs="Times New Roman"/>
      <w:sz w:val="20"/>
      <w:szCs w:val="20"/>
      <w:lang w:val="en-US" w:eastAsia="en-US"/>
    </w:rPr>
  </w:style>
  <w:style w:type="paragraph" w:customStyle="1" w:styleId="Default">
    <w:name w:val="Default"/>
    <w:uiPriority w:val="99"/>
    <w:rsid w:val="00CB1A1B"/>
    <w:pPr>
      <w:autoSpaceDE w:val="0"/>
      <w:autoSpaceDN w:val="0"/>
      <w:adjustRightInd w:val="0"/>
    </w:pPr>
    <w:rPr>
      <w:color w:val="000000"/>
      <w:sz w:val="24"/>
      <w:szCs w:val="24"/>
      <w:lang w:eastAsia="en-US"/>
    </w:rPr>
  </w:style>
  <w:style w:type="paragraph" w:customStyle="1" w:styleId="CDSOptionalconcepts">
    <w:name w:val="CDS Optional concepts"/>
    <w:link w:val="CDSOptionalconceptsChar"/>
    <w:uiPriority w:val="99"/>
    <w:rsid w:val="0023453A"/>
    <w:pPr>
      <w:widowControl w:val="0"/>
    </w:pPr>
    <w:rPr>
      <w:sz w:val="22"/>
      <w:lang w:eastAsia="en-US"/>
    </w:rPr>
  </w:style>
  <w:style w:type="table" w:styleId="afa">
    <w:name w:val="Table Grid"/>
    <w:basedOn w:val="a1"/>
    <w:uiPriority w:val="99"/>
    <w:rsid w:val="002345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SSectionheading">
    <w:name w:val="CDS Section heading"/>
    <w:uiPriority w:val="99"/>
    <w:rsid w:val="00CD50BF"/>
    <w:pPr>
      <w:keepNext/>
      <w:widowControl w:val="0"/>
      <w:spacing w:after="240"/>
      <w:outlineLvl w:val="0"/>
    </w:pPr>
    <w:rPr>
      <w:rFonts w:ascii="Arial" w:hAnsi="Arial"/>
      <w:b/>
      <w:i/>
      <w:sz w:val="22"/>
      <w:lang w:eastAsia="en-US"/>
    </w:rPr>
  </w:style>
  <w:style w:type="character" w:customStyle="1" w:styleId="CDSMandatorysafetyconceptsChar">
    <w:name w:val="CDS Mandatory safety concepts Char"/>
    <w:basedOn w:val="a0"/>
    <w:link w:val="CDSMandatorysafetyconcepts"/>
    <w:uiPriority w:val="99"/>
    <w:locked/>
    <w:rsid w:val="00E45246"/>
    <w:rPr>
      <w:b/>
      <w:sz w:val="22"/>
      <w:lang w:val="en-US" w:eastAsia="en-US" w:bidi="ar-SA"/>
    </w:rPr>
  </w:style>
  <w:style w:type="paragraph" w:customStyle="1" w:styleId="StyleHeading311ptBoldItalicAfter12pt">
    <w:name w:val="Style Heading 3 + 11 pt Bold Italic After:  12 pt"/>
    <w:basedOn w:val="3"/>
    <w:uiPriority w:val="99"/>
    <w:rsid w:val="006A1104"/>
    <w:pPr>
      <w:suppressAutoHyphens w:val="0"/>
      <w:spacing w:before="240" w:after="240"/>
      <w:jc w:val="left"/>
    </w:pPr>
    <w:rPr>
      <w:rFonts w:ascii="Arial" w:hAnsi="Arial"/>
      <w:b/>
      <w:i/>
      <w:iCs/>
      <w:sz w:val="22"/>
      <w:szCs w:val="20"/>
      <w:u w:val="none"/>
    </w:rPr>
  </w:style>
  <w:style w:type="character" w:styleId="afb">
    <w:name w:val="Strong"/>
    <w:basedOn w:val="a0"/>
    <w:uiPriority w:val="99"/>
    <w:qFormat/>
    <w:rsid w:val="00B24B83"/>
    <w:rPr>
      <w:rFonts w:cs="Times New Roman"/>
      <w:b/>
      <w:bCs/>
    </w:rPr>
  </w:style>
  <w:style w:type="paragraph" w:customStyle="1" w:styleId="afc">
    <w:name w:val="Íîðìàëüíûé"/>
    <w:uiPriority w:val="99"/>
    <w:rsid w:val="00B24B83"/>
    <w:rPr>
      <w:rFonts w:ascii="Courier New" w:hAnsi="Courier New"/>
      <w:sz w:val="24"/>
      <w:lang w:eastAsia="en-US"/>
    </w:rPr>
  </w:style>
  <w:style w:type="paragraph" w:styleId="afd">
    <w:name w:val="List Paragraph"/>
    <w:basedOn w:val="a"/>
    <w:uiPriority w:val="99"/>
    <w:qFormat/>
    <w:rsid w:val="00DA109E"/>
    <w:pPr>
      <w:ind w:left="720"/>
      <w:contextualSpacing/>
    </w:pPr>
    <w:rPr>
      <w:lang w:val="ru-RU" w:eastAsia="ru-RU"/>
    </w:rPr>
  </w:style>
  <w:style w:type="character" w:styleId="afe">
    <w:name w:val="FollowedHyperlink"/>
    <w:basedOn w:val="a0"/>
    <w:uiPriority w:val="99"/>
    <w:semiHidden/>
    <w:unhideWhenUsed/>
    <w:rsid w:val="00BC5D56"/>
    <w:rPr>
      <w:color w:val="800080" w:themeColor="followedHyperlink"/>
      <w:u w:val="single"/>
    </w:rPr>
  </w:style>
  <w:style w:type="paragraph" w:styleId="aff">
    <w:name w:val="Revision"/>
    <w:hidden/>
    <w:uiPriority w:val="99"/>
    <w:semiHidden/>
    <w:rsid w:val="0029510A"/>
    <w:rPr>
      <w:sz w:val="24"/>
      <w:szCs w:val="24"/>
      <w:lang w:eastAsia="en-US"/>
    </w:rPr>
  </w:style>
  <w:style w:type="paragraph" w:customStyle="1" w:styleId="Paragraph">
    <w:name w:val="Paragraph"/>
    <w:link w:val="ParagraphChar"/>
    <w:qFormat/>
    <w:rsid w:val="001A480C"/>
    <w:pPr>
      <w:spacing w:after="240"/>
    </w:pPr>
    <w:rPr>
      <w:sz w:val="24"/>
      <w:szCs w:val="24"/>
      <w:lang w:eastAsia="en-US"/>
    </w:rPr>
  </w:style>
  <w:style w:type="paragraph" w:styleId="21">
    <w:name w:val="toc 2"/>
    <w:basedOn w:val="Paragraph"/>
    <w:next w:val="Paragraph"/>
    <w:autoRedefine/>
    <w:locked/>
    <w:rsid w:val="00B31484"/>
    <w:pPr>
      <w:keepLines/>
      <w:tabs>
        <w:tab w:val="left" w:pos="1152"/>
        <w:tab w:val="right" w:leader="dot" w:pos="9360"/>
      </w:tabs>
      <w:spacing w:after="120"/>
      <w:ind w:left="1152" w:right="576" w:hanging="576"/>
    </w:pPr>
    <w:rPr>
      <w:color w:val="0000FF"/>
    </w:rPr>
  </w:style>
  <w:style w:type="character" w:customStyle="1" w:styleId="80">
    <w:name w:val="Заголовок 8 Знак"/>
    <w:basedOn w:val="a0"/>
    <w:link w:val="8"/>
    <w:uiPriority w:val="9"/>
    <w:rsid w:val="00E94B2C"/>
    <w:rPr>
      <w:rFonts w:asciiTheme="majorHAnsi" w:eastAsiaTheme="majorEastAsia" w:hAnsiTheme="majorHAnsi" w:cstheme="majorBidi"/>
      <w:color w:val="404040" w:themeColor="text1" w:themeTint="BF"/>
      <w:lang w:val="en-US" w:eastAsia="en-US"/>
    </w:rPr>
  </w:style>
  <w:style w:type="paragraph" w:customStyle="1" w:styleId="CDSDescriptiveinformation">
    <w:name w:val="CDS Descriptive information"/>
    <w:link w:val="CDSDescriptiveinformationChar"/>
    <w:rsid w:val="00E94B2C"/>
    <w:rPr>
      <w:rFonts w:ascii="Arial" w:hAnsi="Arial"/>
      <w:i/>
      <w:sz w:val="22"/>
      <w:lang w:eastAsia="en-US"/>
    </w:rPr>
  </w:style>
  <w:style w:type="character" w:customStyle="1" w:styleId="CDSDescriptiveinformationChar">
    <w:name w:val="CDS Descriptive information Char"/>
    <w:basedOn w:val="a0"/>
    <w:link w:val="CDSDescriptiveinformation"/>
    <w:rsid w:val="00E94B2C"/>
    <w:rPr>
      <w:rFonts w:ascii="Arial" w:hAnsi="Arial"/>
      <w:i/>
      <w:sz w:val="22"/>
      <w:lang w:val="en-US" w:eastAsia="en-US"/>
    </w:rPr>
  </w:style>
  <w:style w:type="character" w:customStyle="1" w:styleId="ParagraphChar">
    <w:name w:val="Paragraph Char"/>
    <w:link w:val="Paragraph"/>
    <w:rsid w:val="00F33817"/>
    <w:rPr>
      <w:sz w:val="24"/>
      <w:szCs w:val="24"/>
      <w:lang w:val="en-US" w:eastAsia="en-US"/>
    </w:rPr>
  </w:style>
  <w:style w:type="character" w:customStyle="1" w:styleId="apple-converted-space">
    <w:name w:val="apple-converted-space"/>
    <w:basedOn w:val="a0"/>
    <w:rsid w:val="002D6EF4"/>
  </w:style>
  <w:style w:type="character" w:customStyle="1" w:styleId="highlight">
    <w:name w:val="highlight"/>
    <w:basedOn w:val="a0"/>
    <w:rsid w:val="002D6EF4"/>
  </w:style>
  <w:style w:type="paragraph" w:styleId="HTML">
    <w:name w:val="HTML Preformatted"/>
    <w:basedOn w:val="a"/>
    <w:link w:val="HTML0"/>
    <w:uiPriority w:val="99"/>
    <w:unhideWhenUsed/>
    <w:rsid w:val="00E1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10A8F"/>
    <w:rPr>
      <w:rFonts w:ascii="Courier New" w:hAnsi="Courier New" w:cs="Courier New"/>
    </w:rPr>
  </w:style>
  <w:style w:type="paragraph" w:customStyle="1" w:styleId="ConsPlusNonformat">
    <w:name w:val="ConsPlusNonformat"/>
    <w:rsid w:val="00FC037B"/>
    <w:pPr>
      <w:widowControl w:val="0"/>
      <w:autoSpaceDE w:val="0"/>
      <w:autoSpaceDN w:val="0"/>
      <w:adjustRightInd w:val="0"/>
    </w:pPr>
    <w:rPr>
      <w:rFonts w:ascii="Courier New" w:hAnsi="Courier New" w:cs="Courier New"/>
    </w:rPr>
  </w:style>
  <w:style w:type="paragraph" w:styleId="aff0">
    <w:name w:val="Body Text Indent"/>
    <w:basedOn w:val="a"/>
    <w:link w:val="aff1"/>
    <w:uiPriority w:val="99"/>
    <w:semiHidden/>
    <w:unhideWhenUsed/>
    <w:rsid w:val="00DE5099"/>
    <w:pPr>
      <w:spacing w:after="120"/>
      <w:ind w:left="283"/>
    </w:pPr>
  </w:style>
  <w:style w:type="character" w:customStyle="1" w:styleId="aff1">
    <w:name w:val="Основной текст с отступом Знак"/>
    <w:basedOn w:val="a0"/>
    <w:link w:val="aff0"/>
    <w:uiPriority w:val="99"/>
    <w:semiHidden/>
    <w:rsid w:val="00DE50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3932">
      <w:bodyDiv w:val="1"/>
      <w:marLeft w:val="0"/>
      <w:marRight w:val="0"/>
      <w:marTop w:val="0"/>
      <w:marBottom w:val="0"/>
      <w:divBdr>
        <w:top w:val="none" w:sz="0" w:space="0" w:color="auto"/>
        <w:left w:val="none" w:sz="0" w:space="0" w:color="auto"/>
        <w:bottom w:val="none" w:sz="0" w:space="0" w:color="auto"/>
        <w:right w:val="none" w:sz="0" w:space="0" w:color="auto"/>
      </w:divBdr>
    </w:div>
    <w:div w:id="351223812">
      <w:bodyDiv w:val="1"/>
      <w:marLeft w:val="0"/>
      <w:marRight w:val="0"/>
      <w:marTop w:val="0"/>
      <w:marBottom w:val="0"/>
      <w:divBdr>
        <w:top w:val="none" w:sz="0" w:space="0" w:color="auto"/>
        <w:left w:val="none" w:sz="0" w:space="0" w:color="auto"/>
        <w:bottom w:val="none" w:sz="0" w:space="0" w:color="auto"/>
        <w:right w:val="none" w:sz="0" w:space="0" w:color="auto"/>
      </w:divBdr>
    </w:div>
    <w:div w:id="583538717">
      <w:bodyDiv w:val="1"/>
      <w:marLeft w:val="0"/>
      <w:marRight w:val="0"/>
      <w:marTop w:val="0"/>
      <w:marBottom w:val="0"/>
      <w:divBdr>
        <w:top w:val="none" w:sz="0" w:space="0" w:color="auto"/>
        <w:left w:val="none" w:sz="0" w:space="0" w:color="auto"/>
        <w:bottom w:val="none" w:sz="0" w:space="0" w:color="auto"/>
        <w:right w:val="none" w:sz="0" w:space="0" w:color="auto"/>
      </w:divBdr>
    </w:div>
    <w:div w:id="879904796">
      <w:bodyDiv w:val="1"/>
      <w:marLeft w:val="0"/>
      <w:marRight w:val="0"/>
      <w:marTop w:val="0"/>
      <w:marBottom w:val="0"/>
      <w:divBdr>
        <w:top w:val="none" w:sz="0" w:space="0" w:color="auto"/>
        <w:left w:val="none" w:sz="0" w:space="0" w:color="auto"/>
        <w:bottom w:val="none" w:sz="0" w:space="0" w:color="auto"/>
        <w:right w:val="none" w:sz="0" w:space="0" w:color="auto"/>
      </w:divBdr>
    </w:div>
    <w:div w:id="912160264">
      <w:bodyDiv w:val="1"/>
      <w:marLeft w:val="0"/>
      <w:marRight w:val="0"/>
      <w:marTop w:val="0"/>
      <w:marBottom w:val="0"/>
      <w:divBdr>
        <w:top w:val="none" w:sz="0" w:space="0" w:color="auto"/>
        <w:left w:val="none" w:sz="0" w:space="0" w:color="auto"/>
        <w:bottom w:val="none" w:sz="0" w:space="0" w:color="auto"/>
        <w:right w:val="none" w:sz="0" w:space="0" w:color="auto"/>
      </w:divBdr>
    </w:div>
    <w:div w:id="17085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trova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D694-3225-4BFD-B17B-24C1E404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5293</Words>
  <Characters>30173</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Download the original attachment</vt:lpstr>
      <vt:lpstr>Download the original attachment</vt:lpstr>
    </vt:vector>
  </TitlesOfParts>
  <Company>RF</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the original attachment</dc:title>
  <dc:creator>Admin</dc:creator>
  <cp:lastModifiedBy>Olga Mitrofanova</cp:lastModifiedBy>
  <cp:revision>6</cp:revision>
  <cp:lastPrinted>2016-08-16T03:58:00Z</cp:lastPrinted>
  <dcterms:created xsi:type="dcterms:W3CDTF">2021-07-02T15:03:00Z</dcterms:created>
  <dcterms:modified xsi:type="dcterms:W3CDTF">2021-07-06T12:43:00Z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