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BAEA6" w14:textId="77777777" w:rsidR="00890DFA" w:rsidRPr="0017697F" w:rsidRDefault="004C6CDF" w:rsidP="0042069D">
      <w:pPr>
        <w:pStyle w:val="20"/>
        <w:keepNext/>
        <w:keepLines/>
        <w:spacing w:after="120"/>
        <w:rPr>
          <w:sz w:val="24"/>
          <w:szCs w:val="22"/>
          <w:lang w:val="en-US"/>
        </w:rPr>
      </w:pPr>
      <w:r w:rsidRPr="0017697F">
        <w:rPr>
          <w:b/>
          <w:bCs/>
          <w:sz w:val="24"/>
          <w:szCs w:val="22"/>
          <w:lang w:val="en-US"/>
        </w:rPr>
        <w:t>THE MINISTRY OF HEALTH OF THE RUSSIAN FEDERATION</w:t>
      </w:r>
    </w:p>
    <w:p w14:paraId="3FC17E95" w14:textId="77777777" w:rsidR="00890DFA" w:rsidRPr="0017697F" w:rsidRDefault="004C6CDF" w:rsidP="0042069D">
      <w:pPr>
        <w:pStyle w:val="1"/>
        <w:spacing w:after="120" w:line="240" w:lineRule="auto"/>
        <w:jc w:val="center"/>
        <w:rPr>
          <w:sz w:val="24"/>
          <w:szCs w:val="22"/>
          <w:lang w:val="en-US"/>
        </w:rPr>
      </w:pPr>
      <w:r w:rsidRPr="0017697F">
        <w:rPr>
          <w:sz w:val="24"/>
          <w:szCs w:val="22"/>
          <w:lang w:val="en-US"/>
        </w:rPr>
        <w:t>PATIENT INFORMATION LEAFLET</w:t>
      </w:r>
    </w:p>
    <w:p w14:paraId="7D21E042" w14:textId="571F1019" w:rsidR="00890DFA" w:rsidRPr="0017697F" w:rsidRDefault="004C6CDF" w:rsidP="0042069D">
      <w:pPr>
        <w:pStyle w:val="1"/>
        <w:spacing w:after="120" w:line="240" w:lineRule="auto"/>
        <w:jc w:val="center"/>
        <w:rPr>
          <w:sz w:val="24"/>
          <w:szCs w:val="22"/>
          <w:lang w:val="en-US"/>
        </w:rPr>
      </w:pPr>
      <w:r w:rsidRPr="0017697F">
        <w:rPr>
          <w:sz w:val="24"/>
          <w:szCs w:val="22"/>
          <w:lang w:val="en-US"/>
        </w:rPr>
        <w:t xml:space="preserve">FOR THE </w:t>
      </w:r>
      <w:r w:rsidR="0017697F">
        <w:rPr>
          <w:sz w:val="24"/>
          <w:szCs w:val="22"/>
          <w:lang w:val="en-US"/>
        </w:rPr>
        <w:t>MEDICINAL PRODUCT</w:t>
      </w:r>
    </w:p>
    <w:p w14:paraId="17A544C8" w14:textId="77777777" w:rsidR="00890DFA" w:rsidRPr="0017697F" w:rsidRDefault="004C6CDF" w:rsidP="0042069D">
      <w:pPr>
        <w:pStyle w:val="1"/>
        <w:spacing w:after="120" w:line="240" w:lineRule="auto"/>
        <w:jc w:val="center"/>
        <w:rPr>
          <w:sz w:val="24"/>
          <w:szCs w:val="22"/>
          <w:lang w:val="en-US"/>
        </w:rPr>
      </w:pPr>
      <w:r w:rsidRPr="0017697F">
        <w:rPr>
          <w:b/>
          <w:bCs/>
          <w:sz w:val="24"/>
          <w:szCs w:val="22"/>
          <w:lang w:val="en-US"/>
        </w:rPr>
        <w:t>Grippol® Quadrivalent</w:t>
      </w:r>
    </w:p>
    <w:p w14:paraId="207539FD" w14:textId="0D3FF59B" w:rsidR="00890DFA" w:rsidRPr="0017697F" w:rsidRDefault="004C6CDF" w:rsidP="0042069D">
      <w:pPr>
        <w:pStyle w:val="1"/>
        <w:spacing w:after="120" w:line="240" w:lineRule="auto"/>
        <w:jc w:val="center"/>
        <w:rPr>
          <w:b/>
          <w:bCs/>
          <w:sz w:val="24"/>
          <w:szCs w:val="22"/>
          <w:lang w:val="en-US"/>
        </w:rPr>
      </w:pPr>
      <w:r w:rsidRPr="0017697F">
        <w:rPr>
          <w:b/>
          <w:bCs/>
          <w:sz w:val="24"/>
          <w:szCs w:val="22"/>
          <w:lang w:val="en-US"/>
        </w:rPr>
        <w:t>Vaccine against influenza quadrivalent inactivated subunit adjuvant</w:t>
      </w:r>
    </w:p>
    <w:p w14:paraId="69BDFEE4" w14:textId="77777777" w:rsidR="0042069D" w:rsidRPr="0017697F" w:rsidRDefault="0042069D" w:rsidP="0042069D">
      <w:pPr>
        <w:pStyle w:val="1"/>
        <w:spacing w:after="120" w:line="240" w:lineRule="auto"/>
        <w:jc w:val="center"/>
        <w:rPr>
          <w:sz w:val="24"/>
          <w:szCs w:val="22"/>
          <w:lang w:val="en-US"/>
        </w:rPr>
      </w:pPr>
    </w:p>
    <w:p w14:paraId="4C3E6C03" w14:textId="77777777" w:rsidR="00890DFA" w:rsidRPr="0017697F" w:rsidRDefault="004C6CDF" w:rsidP="0042069D">
      <w:pPr>
        <w:pStyle w:val="20"/>
        <w:keepNext/>
        <w:keepLines/>
        <w:spacing w:after="120"/>
        <w:jc w:val="both"/>
        <w:rPr>
          <w:sz w:val="24"/>
          <w:szCs w:val="22"/>
          <w:lang w:val="en-US"/>
        </w:rPr>
      </w:pPr>
      <w:r w:rsidRPr="0017697F">
        <w:rPr>
          <w:b/>
          <w:bCs/>
          <w:sz w:val="24"/>
          <w:szCs w:val="22"/>
          <w:lang w:val="en-US"/>
        </w:rPr>
        <w:t>Marketing Authorization:</w:t>
      </w:r>
    </w:p>
    <w:p w14:paraId="11C28569" w14:textId="77777777" w:rsidR="00890DFA" w:rsidRPr="0017697F" w:rsidRDefault="004C6CDF" w:rsidP="0042069D">
      <w:pPr>
        <w:pStyle w:val="20"/>
        <w:keepNext/>
        <w:keepLines/>
        <w:spacing w:after="120"/>
        <w:jc w:val="both"/>
        <w:rPr>
          <w:sz w:val="24"/>
          <w:szCs w:val="22"/>
          <w:lang w:val="en-US"/>
        </w:rPr>
      </w:pPr>
      <w:r w:rsidRPr="0017697F">
        <w:rPr>
          <w:b/>
          <w:bCs/>
          <w:sz w:val="24"/>
          <w:szCs w:val="22"/>
          <w:lang w:val="en-US"/>
        </w:rPr>
        <w:t xml:space="preserve">Trade name: </w:t>
      </w:r>
      <w:r w:rsidRPr="0017697F">
        <w:rPr>
          <w:sz w:val="24"/>
          <w:szCs w:val="22"/>
          <w:lang w:val="en-US"/>
        </w:rPr>
        <w:t>Grippol® Quadrivalent</w:t>
      </w:r>
    </w:p>
    <w:p w14:paraId="669F81B2" w14:textId="77777777" w:rsidR="0017697F" w:rsidRPr="00F84380" w:rsidRDefault="004C6CDF" w:rsidP="0042069D">
      <w:pPr>
        <w:pStyle w:val="1"/>
        <w:spacing w:after="120" w:line="240" w:lineRule="auto"/>
        <w:jc w:val="both"/>
        <w:rPr>
          <w:b/>
          <w:bCs/>
          <w:sz w:val="24"/>
          <w:szCs w:val="22"/>
          <w:lang w:val="en-US"/>
        </w:rPr>
      </w:pPr>
      <w:r w:rsidRPr="0017697F">
        <w:rPr>
          <w:sz w:val="24"/>
          <w:szCs w:val="22"/>
          <w:lang w:val="en-US"/>
        </w:rPr>
        <w:t xml:space="preserve">Vaccine against influenza quadrivalent inactivated subunit adjuvant </w:t>
      </w:r>
      <w:r w:rsidRPr="0017697F">
        <w:rPr>
          <w:b/>
          <w:bCs/>
          <w:sz w:val="24"/>
          <w:szCs w:val="22"/>
          <w:lang w:val="en-US"/>
        </w:rPr>
        <w:t xml:space="preserve"> </w:t>
      </w:r>
    </w:p>
    <w:p w14:paraId="6E84CA35" w14:textId="5DB96699" w:rsidR="00890DFA" w:rsidRPr="0017697F" w:rsidRDefault="004C6CDF" w:rsidP="0042069D">
      <w:pPr>
        <w:pStyle w:val="1"/>
        <w:spacing w:after="120" w:line="240" w:lineRule="auto"/>
        <w:jc w:val="both"/>
        <w:rPr>
          <w:sz w:val="24"/>
          <w:szCs w:val="22"/>
          <w:lang w:val="en-US"/>
        </w:rPr>
      </w:pPr>
      <w:r w:rsidRPr="0017697F">
        <w:rPr>
          <w:b/>
          <w:bCs/>
          <w:sz w:val="24"/>
          <w:szCs w:val="22"/>
          <w:lang w:val="en-US"/>
        </w:rPr>
        <w:t>Group name:</w:t>
      </w:r>
      <w:r w:rsidR="0017697F" w:rsidRPr="00F84380">
        <w:rPr>
          <w:b/>
          <w:bCs/>
          <w:sz w:val="24"/>
          <w:szCs w:val="22"/>
          <w:lang w:val="en-US"/>
        </w:rPr>
        <w:t xml:space="preserve"> </w:t>
      </w:r>
      <w:r w:rsidRPr="0017697F">
        <w:rPr>
          <w:sz w:val="24"/>
          <w:szCs w:val="22"/>
          <w:lang w:val="en-US"/>
        </w:rPr>
        <w:t xml:space="preserve">Vaccine against influenza [inactivated] + Azoximer bromide. </w:t>
      </w:r>
    </w:p>
    <w:p w14:paraId="774E54E0" w14:textId="77777777" w:rsidR="00890DFA" w:rsidRPr="0017697F" w:rsidRDefault="004C6CDF" w:rsidP="0042069D">
      <w:pPr>
        <w:pStyle w:val="1"/>
        <w:spacing w:after="120" w:line="240" w:lineRule="auto"/>
        <w:jc w:val="both"/>
        <w:rPr>
          <w:sz w:val="24"/>
          <w:szCs w:val="22"/>
          <w:lang w:val="en-US"/>
        </w:rPr>
      </w:pPr>
      <w:r w:rsidRPr="0017697F">
        <w:rPr>
          <w:b/>
          <w:bCs/>
          <w:sz w:val="24"/>
          <w:szCs w:val="22"/>
          <w:lang w:val="en-US"/>
        </w:rPr>
        <w:t xml:space="preserve">Dosage form: </w:t>
      </w:r>
      <w:r w:rsidRPr="0017697F">
        <w:rPr>
          <w:sz w:val="24"/>
          <w:szCs w:val="22"/>
          <w:lang w:val="en-US"/>
        </w:rPr>
        <w:t xml:space="preserve"> </w:t>
      </w:r>
      <w:bookmarkStart w:id="0" w:name="_GoBack"/>
      <w:r w:rsidRPr="0017697F">
        <w:rPr>
          <w:sz w:val="24"/>
          <w:szCs w:val="22"/>
          <w:lang w:val="en-US"/>
        </w:rPr>
        <w:t>solution for intramuscular and subcutaneous injection</w:t>
      </w:r>
      <w:bookmarkEnd w:id="0"/>
      <w:r w:rsidRPr="0017697F">
        <w:rPr>
          <w:sz w:val="24"/>
          <w:szCs w:val="22"/>
          <w:lang w:val="en-US"/>
        </w:rPr>
        <w:t>.</w:t>
      </w:r>
    </w:p>
    <w:p w14:paraId="131B1EDF" w14:textId="77777777" w:rsidR="00890DFA" w:rsidRPr="0017697F" w:rsidRDefault="004C6CDF" w:rsidP="0042069D">
      <w:pPr>
        <w:pStyle w:val="20"/>
        <w:keepNext/>
        <w:keepLines/>
        <w:spacing w:after="120"/>
        <w:jc w:val="both"/>
        <w:rPr>
          <w:sz w:val="24"/>
          <w:szCs w:val="22"/>
          <w:lang w:val="en-US"/>
        </w:rPr>
      </w:pPr>
      <w:r w:rsidRPr="0017697F">
        <w:rPr>
          <w:b/>
          <w:bCs/>
          <w:sz w:val="24"/>
          <w:szCs w:val="22"/>
          <w:lang w:val="en-US"/>
        </w:rPr>
        <w:t>Composition per 1 dose (0.5 ml):</w:t>
      </w:r>
    </w:p>
    <w:p w14:paraId="127C107B" w14:textId="77777777" w:rsidR="00890DFA" w:rsidRPr="0017697F" w:rsidRDefault="004C6CDF" w:rsidP="0042069D">
      <w:pPr>
        <w:pStyle w:val="1"/>
        <w:spacing w:after="120" w:line="240" w:lineRule="auto"/>
        <w:jc w:val="both"/>
        <w:rPr>
          <w:sz w:val="24"/>
          <w:szCs w:val="22"/>
          <w:lang w:val="en-US"/>
        </w:rPr>
      </w:pPr>
      <w:r w:rsidRPr="0017697F">
        <w:rPr>
          <w:i/>
          <w:iCs/>
          <w:sz w:val="24"/>
          <w:szCs w:val="22"/>
          <w:lang w:val="en-US"/>
        </w:rPr>
        <w:t>Active ingredients:</w:t>
      </w:r>
    </w:p>
    <w:p w14:paraId="3C90EC64" w14:textId="062C0022" w:rsidR="00890DFA" w:rsidRPr="0017697F" w:rsidRDefault="004C6CDF" w:rsidP="0042069D">
      <w:pPr>
        <w:pStyle w:val="1"/>
        <w:spacing w:after="120" w:line="240" w:lineRule="auto"/>
        <w:jc w:val="both"/>
        <w:rPr>
          <w:sz w:val="24"/>
          <w:szCs w:val="22"/>
          <w:lang w:val="en-US"/>
        </w:rPr>
      </w:pPr>
      <w:r w:rsidRPr="0017697F">
        <w:rPr>
          <w:sz w:val="24"/>
          <w:szCs w:val="22"/>
          <w:lang w:val="en-US"/>
        </w:rPr>
        <w:t>Serotype A (H</w:t>
      </w:r>
      <w:r w:rsidRPr="0017697F">
        <w:rPr>
          <w:sz w:val="24"/>
          <w:szCs w:val="22"/>
          <w:vertAlign w:val="subscript"/>
          <w:lang w:val="en-US" w:eastAsia="en-US" w:bidi="en-US"/>
        </w:rPr>
        <w:t>1</w:t>
      </w:r>
      <w:r w:rsidRPr="0017697F">
        <w:rPr>
          <w:sz w:val="24"/>
          <w:szCs w:val="22"/>
          <w:lang w:val="en-US"/>
        </w:rPr>
        <w:t>N</w:t>
      </w:r>
      <w:r w:rsidRPr="0017697F">
        <w:rPr>
          <w:sz w:val="24"/>
          <w:szCs w:val="22"/>
          <w:vertAlign w:val="subscript"/>
          <w:lang w:val="en-US" w:eastAsia="en-US" w:bidi="en-US"/>
        </w:rPr>
        <w:t>1</w:t>
      </w:r>
      <w:r w:rsidRPr="0017697F">
        <w:rPr>
          <w:sz w:val="24"/>
          <w:szCs w:val="22"/>
          <w:lang w:val="en-US"/>
        </w:rPr>
        <w:t>)* influenza virus antigen</w:t>
      </w:r>
    </w:p>
    <w:tbl>
      <w:tblPr>
        <w:tblOverlap w:val="never"/>
        <w:tblW w:w="5000" w:type="pct"/>
        <w:tblCellMar>
          <w:left w:w="10" w:type="dxa"/>
          <w:right w:w="10" w:type="dxa"/>
        </w:tblCellMar>
        <w:tblLook w:val="0000" w:firstRow="0" w:lastRow="0" w:firstColumn="0" w:lastColumn="0" w:noHBand="0" w:noVBand="0"/>
      </w:tblPr>
      <w:tblGrid>
        <w:gridCol w:w="8199"/>
        <w:gridCol w:w="1442"/>
      </w:tblGrid>
      <w:tr w:rsidR="007E682E" w:rsidRPr="0017697F" w14:paraId="4808DECA" w14:textId="77777777" w:rsidTr="0042069D">
        <w:tc>
          <w:tcPr>
            <w:tcW w:w="4252" w:type="pct"/>
            <w:shd w:val="clear" w:color="auto" w:fill="auto"/>
          </w:tcPr>
          <w:p w14:paraId="1EC98A87" w14:textId="77777777" w:rsidR="00890DFA" w:rsidRPr="0017697F" w:rsidRDefault="004C6CDF" w:rsidP="0042069D">
            <w:pPr>
              <w:pStyle w:val="a5"/>
              <w:spacing w:after="120" w:line="240" w:lineRule="auto"/>
              <w:rPr>
                <w:sz w:val="24"/>
                <w:szCs w:val="22"/>
                <w:lang w:val="en-US"/>
              </w:rPr>
            </w:pPr>
            <w:r w:rsidRPr="0017697F">
              <w:rPr>
                <w:sz w:val="24"/>
                <w:szCs w:val="22"/>
                <w:lang w:val="en-US"/>
              </w:rPr>
              <w:t>with concentration of hemagglutinin</w:t>
            </w:r>
          </w:p>
        </w:tc>
        <w:tc>
          <w:tcPr>
            <w:tcW w:w="748" w:type="pct"/>
            <w:shd w:val="clear" w:color="auto" w:fill="auto"/>
          </w:tcPr>
          <w:p w14:paraId="34D41A7C" w14:textId="77777777" w:rsidR="00890DFA" w:rsidRPr="0017697F" w:rsidRDefault="004C6CDF" w:rsidP="0042069D">
            <w:pPr>
              <w:pStyle w:val="a5"/>
              <w:spacing w:after="120" w:line="240" w:lineRule="auto"/>
              <w:rPr>
                <w:sz w:val="24"/>
                <w:szCs w:val="22"/>
                <w:lang w:val="en-US"/>
              </w:rPr>
            </w:pPr>
            <w:r w:rsidRPr="0017697F">
              <w:rPr>
                <w:sz w:val="24"/>
                <w:szCs w:val="22"/>
                <w:lang w:val="en-US"/>
              </w:rPr>
              <w:t>- 5 μg</w:t>
            </w:r>
          </w:p>
        </w:tc>
      </w:tr>
      <w:tr w:rsidR="007E682E" w:rsidRPr="00175ECC" w14:paraId="50CB325B" w14:textId="77777777" w:rsidTr="0042069D">
        <w:tc>
          <w:tcPr>
            <w:tcW w:w="4252" w:type="pct"/>
            <w:shd w:val="clear" w:color="auto" w:fill="auto"/>
          </w:tcPr>
          <w:p w14:paraId="1757B9C3" w14:textId="77777777" w:rsidR="00890DFA" w:rsidRPr="0017697F" w:rsidRDefault="004C6CDF" w:rsidP="0042069D">
            <w:pPr>
              <w:pStyle w:val="a5"/>
              <w:spacing w:after="120" w:line="240" w:lineRule="auto"/>
              <w:rPr>
                <w:sz w:val="24"/>
                <w:szCs w:val="22"/>
                <w:lang w:val="en-US"/>
              </w:rPr>
            </w:pPr>
            <w:r w:rsidRPr="0017697F">
              <w:rPr>
                <w:sz w:val="24"/>
                <w:szCs w:val="22"/>
                <w:lang w:val="en-US"/>
              </w:rPr>
              <w:t>Serotype A (H</w:t>
            </w:r>
            <w:r w:rsidRPr="0017697F">
              <w:rPr>
                <w:sz w:val="24"/>
                <w:szCs w:val="22"/>
                <w:vertAlign w:val="subscript"/>
                <w:lang w:val="en-US" w:eastAsia="en-US" w:bidi="en-US"/>
              </w:rPr>
              <w:t>3</w:t>
            </w:r>
            <w:r w:rsidRPr="0017697F">
              <w:rPr>
                <w:sz w:val="24"/>
                <w:szCs w:val="22"/>
                <w:lang w:val="en-US"/>
              </w:rPr>
              <w:t>N</w:t>
            </w:r>
            <w:r w:rsidRPr="0017697F">
              <w:rPr>
                <w:sz w:val="24"/>
                <w:szCs w:val="22"/>
                <w:vertAlign w:val="subscript"/>
                <w:lang w:val="en-US" w:eastAsia="en-US" w:bidi="en-US"/>
              </w:rPr>
              <w:t>2</w:t>
            </w:r>
            <w:r w:rsidRPr="0017697F">
              <w:rPr>
                <w:sz w:val="24"/>
                <w:szCs w:val="22"/>
                <w:lang w:val="en-US"/>
              </w:rPr>
              <w:t>)* influenza virus antigen</w:t>
            </w:r>
          </w:p>
        </w:tc>
        <w:tc>
          <w:tcPr>
            <w:tcW w:w="748" w:type="pct"/>
            <w:shd w:val="clear" w:color="auto" w:fill="auto"/>
          </w:tcPr>
          <w:p w14:paraId="1B7E212B" w14:textId="77777777" w:rsidR="00890DFA" w:rsidRPr="0017697F" w:rsidRDefault="00890DFA" w:rsidP="0042069D">
            <w:pPr>
              <w:spacing w:after="120"/>
              <w:rPr>
                <w:szCs w:val="10"/>
                <w:lang w:val="en-US"/>
              </w:rPr>
            </w:pPr>
          </w:p>
        </w:tc>
      </w:tr>
      <w:tr w:rsidR="007E682E" w:rsidRPr="0017697F" w14:paraId="2F136A17" w14:textId="77777777" w:rsidTr="0042069D">
        <w:tc>
          <w:tcPr>
            <w:tcW w:w="4252" w:type="pct"/>
            <w:shd w:val="clear" w:color="auto" w:fill="auto"/>
          </w:tcPr>
          <w:p w14:paraId="1E57AEB1" w14:textId="77777777" w:rsidR="00890DFA" w:rsidRPr="0017697F" w:rsidRDefault="004C6CDF" w:rsidP="0042069D">
            <w:pPr>
              <w:pStyle w:val="a5"/>
              <w:spacing w:after="120" w:line="240" w:lineRule="auto"/>
              <w:rPr>
                <w:sz w:val="24"/>
                <w:szCs w:val="22"/>
                <w:lang w:val="en-US"/>
              </w:rPr>
            </w:pPr>
            <w:r w:rsidRPr="0017697F">
              <w:rPr>
                <w:sz w:val="24"/>
                <w:szCs w:val="22"/>
                <w:lang w:val="en-US"/>
              </w:rPr>
              <w:t>with concentration of hemagglutinin</w:t>
            </w:r>
          </w:p>
        </w:tc>
        <w:tc>
          <w:tcPr>
            <w:tcW w:w="748" w:type="pct"/>
            <w:shd w:val="clear" w:color="auto" w:fill="auto"/>
          </w:tcPr>
          <w:p w14:paraId="24D589C7" w14:textId="77777777" w:rsidR="00890DFA" w:rsidRPr="0017697F" w:rsidRDefault="004C6CDF" w:rsidP="0042069D">
            <w:pPr>
              <w:pStyle w:val="a5"/>
              <w:spacing w:after="120" w:line="240" w:lineRule="auto"/>
              <w:rPr>
                <w:sz w:val="24"/>
                <w:szCs w:val="22"/>
                <w:lang w:val="en-US"/>
              </w:rPr>
            </w:pPr>
            <w:r w:rsidRPr="0017697F">
              <w:rPr>
                <w:sz w:val="24"/>
                <w:szCs w:val="22"/>
                <w:lang w:val="en-US"/>
              </w:rPr>
              <w:t>- 5 μg</w:t>
            </w:r>
          </w:p>
        </w:tc>
      </w:tr>
      <w:tr w:rsidR="007E682E" w:rsidRPr="00175ECC" w14:paraId="12F18E35" w14:textId="77777777" w:rsidTr="0042069D">
        <w:tc>
          <w:tcPr>
            <w:tcW w:w="4252" w:type="pct"/>
            <w:shd w:val="clear" w:color="auto" w:fill="auto"/>
          </w:tcPr>
          <w:p w14:paraId="16D9C32F" w14:textId="77777777" w:rsidR="00890DFA" w:rsidRPr="0017697F" w:rsidRDefault="004C6CDF" w:rsidP="0042069D">
            <w:pPr>
              <w:pStyle w:val="a5"/>
              <w:spacing w:after="120" w:line="240" w:lineRule="auto"/>
              <w:rPr>
                <w:sz w:val="24"/>
                <w:szCs w:val="22"/>
                <w:lang w:val="en-US"/>
              </w:rPr>
            </w:pPr>
            <w:r w:rsidRPr="0017697F">
              <w:rPr>
                <w:sz w:val="24"/>
                <w:szCs w:val="22"/>
                <w:lang w:val="en-US"/>
              </w:rPr>
              <w:t>Type B influenza virus antigen (Yamagata line)*</w:t>
            </w:r>
          </w:p>
        </w:tc>
        <w:tc>
          <w:tcPr>
            <w:tcW w:w="748" w:type="pct"/>
            <w:shd w:val="clear" w:color="auto" w:fill="auto"/>
          </w:tcPr>
          <w:p w14:paraId="3B2198D9" w14:textId="77777777" w:rsidR="00890DFA" w:rsidRPr="0017697F" w:rsidRDefault="00890DFA" w:rsidP="0042069D">
            <w:pPr>
              <w:spacing w:after="120"/>
              <w:rPr>
                <w:szCs w:val="10"/>
                <w:lang w:val="en-US"/>
              </w:rPr>
            </w:pPr>
          </w:p>
        </w:tc>
      </w:tr>
      <w:tr w:rsidR="007E682E" w:rsidRPr="0017697F" w14:paraId="3DB0260C" w14:textId="77777777" w:rsidTr="0042069D">
        <w:tc>
          <w:tcPr>
            <w:tcW w:w="4252" w:type="pct"/>
            <w:shd w:val="clear" w:color="auto" w:fill="auto"/>
          </w:tcPr>
          <w:p w14:paraId="57E944C5" w14:textId="77777777" w:rsidR="00890DFA" w:rsidRPr="0017697F" w:rsidRDefault="004C6CDF" w:rsidP="0042069D">
            <w:pPr>
              <w:pStyle w:val="a5"/>
              <w:spacing w:after="120" w:line="240" w:lineRule="auto"/>
              <w:rPr>
                <w:sz w:val="24"/>
                <w:szCs w:val="22"/>
                <w:lang w:val="en-US"/>
              </w:rPr>
            </w:pPr>
            <w:r w:rsidRPr="0017697F">
              <w:rPr>
                <w:sz w:val="24"/>
                <w:szCs w:val="22"/>
                <w:lang w:val="en-US"/>
              </w:rPr>
              <w:t>with concentration of hemagglutinin</w:t>
            </w:r>
          </w:p>
        </w:tc>
        <w:tc>
          <w:tcPr>
            <w:tcW w:w="748" w:type="pct"/>
            <w:shd w:val="clear" w:color="auto" w:fill="auto"/>
          </w:tcPr>
          <w:p w14:paraId="2B001847" w14:textId="77777777" w:rsidR="00890DFA" w:rsidRPr="0017697F" w:rsidRDefault="004C6CDF" w:rsidP="0042069D">
            <w:pPr>
              <w:pStyle w:val="a5"/>
              <w:spacing w:after="120" w:line="240" w:lineRule="auto"/>
              <w:rPr>
                <w:sz w:val="24"/>
                <w:szCs w:val="22"/>
                <w:lang w:val="en-US"/>
              </w:rPr>
            </w:pPr>
            <w:r w:rsidRPr="0017697F">
              <w:rPr>
                <w:sz w:val="24"/>
                <w:szCs w:val="22"/>
                <w:lang w:val="en-US"/>
              </w:rPr>
              <w:t>- 5 μg</w:t>
            </w:r>
          </w:p>
        </w:tc>
      </w:tr>
      <w:tr w:rsidR="007E682E" w:rsidRPr="00175ECC" w14:paraId="5309AD97" w14:textId="77777777" w:rsidTr="0042069D">
        <w:tc>
          <w:tcPr>
            <w:tcW w:w="4252" w:type="pct"/>
            <w:shd w:val="clear" w:color="auto" w:fill="auto"/>
          </w:tcPr>
          <w:p w14:paraId="29B0746D" w14:textId="77777777" w:rsidR="00890DFA" w:rsidRPr="0017697F" w:rsidRDefault="004C6CDF" w:rsidP="0042069D">
            <w:pPr>
              <w:pStyle w:val="a5"/>
              <w:spacing w:after="120" w:line="240" w:lineRule="auto"/>
              <w:rPr>
                <w:sz w:val="24"/>
                <w:szCs w:val="22"/>
                <w:lang w:val="en-US"/>
              </w:rPr>
            </w:pPr>
            <w:r w:rsidRPr="0017697F">
              <w:rPr>
                <w:sz w:val="24"/>
                <w:szCs w:val="22"/>
                <w:lang w:val="en-US"/>
              </w:rPr>
              <w:t>Type B influenza virus antigen (Victoria line)*</w:t>
            </w:r>
          </w:p>
        </w:tc>
        <w:tc>
          <w:tcPr>
            <w:tcW w:w="748" w:type="pct"/>
            <w:shd w:val="clear" w:color="auto" w:fill="auto"/>
          </w:tcPr>
          <w:p w14:paraId="716F39CF" w14:textId="77777777" w:rsidR="00890DFA" w:rsidRPr="0017697F" w:rsidRDefault="00890DFA" w:rsidP="0042069D">
            <w:pPr>
              <w:spacing w:after="120"/>
              <w:rPr>
                <w:szCs w:val="10"/>
                <w:lang w:val="en-US"/>
              </w:rPr>
            </w:pPr>
          </w:p>
        </w:tc>
      </w:tr>
      <w:tr w:rsidR="007E682E" w:rsidRPr="0017697F" w14:paraId="51E9C4F0" w14:textId="77777777" w:rsidTr="0042069D">
        <w:tc>
          <w:tcPr>
            <w:tcW w:w="4252" w:type="pct"/>
            <w:shd w:val="clear" w:color="auto" w:fill="auto"/>
          </w:tcPr>
          <w:p w14:paraId="35554935" w14:textId="77777777" w:rsidR="00890DFA" w:rsidRPr="0017697F" w:rsidRDefault="004C6CDF" w:rsidP="0042069D">
            <w:pPr>
              <w:pStyle w:val="a5"/>
              <w:spacing w:after="120" w:line="240" w:lineRule="auto"/>
              <w:rPr>
                <w:sz w:val="24"/>
                <w:szCs w:val="22"/>
                <w:lang w:val="en-US"/>
              </w:rPr>
            </w:pPr>
            <w:r w:rsidRPr="0017697F">
              <w:rPr>
                <w:sz w:val="24"/>
                <w:szCs w:val="22"/>
                <w:lang w:val="en-US"/>
              </w:rPr>
              <w:t>with concentration of hemagglutinin</w:t>
            </w:r>
          </w:p>
        </w:tc>
        <w:tc>
          <w:tcPr>
            <w:tcW w:w="748" w:type="pct"/>
            <w:shd w:val="clear" w:color="auto" w:fill="auto"/>
          </w:tcPr>
          <w:p w14:paraId="23E63772" w14:textId="77777777" w:rsidR="00890DFA" w:rsidRPr="0017697F" w:rsidRDefault="004C6CDF" w:rsidP="0042069D">
            <w:pPr>
              <w:pStyle w:val="a5"/>
              <w:spacing w:after="120" w:line="240" w:lineRule="auto"/>
              <w:rPr>
                <w:sz w:val="24"/>
                <w:szCs w:val="22"/>
                <w:lang w:val="en-US"/>
              </w:rPr>
            </w:pPr>
            <w:r w:rsidRPr="0017697F">
              <w:rPr>
                <w:sz w:val="24"/>
                <w:szCs w:val="22"/>
                <w:lang w:val="en-US"/>
              </w:rPr>
              <w:t>- 5 μg</w:t>
            </w:r>
          </w:p>
        </w:tc>
      </w:tr>
      <w:tr w:rsidR="007E682E" w:rsidRPr="0017697F" w14:paraId="63E091E4" w14:textId="77777777" w:rsidTr="0042069D">
        <w:tc>
          <w:tcPr>
            <w:tcW w:w="4252" w:type="pct"/>
            <w:shd w:val="clear" w:color="auto" w:fill="auto"/>
          </w:tcPr>
          <w:p w14:paraId="103511B1" w14:textId="610DD1F8" w:rsidR="00890DFA" w:rsidRPr="0017697F" w:rsidRDefault="004C6CDF" w:rsidP="0042069D">
            <w:pPr>
              <w:pStyle w:val="a5"/>
              <w:spacing w:after="120" w:line="240" w:lineRule="auto"/>
              <w:rPr>
                <w:sz w:val="24"/>
                <w:szCs w:val="22"/>
                <w:lang w:val="en-US"/>
              </w:rPr>
            </w:pPr>
            <w:r w:rsidRPr="0017697F">
              <w:rPr>
                <w:sz w:val="24"/>
                <w:szCs w:val="22"/>
                <w:lang w:val="en-US"/>
              </w:rPr>
              <w:t>Polyoxidonium®, freeze-dried substance** (Azoximer bromide).</w:t>
            </w:r>
          </w:p>
        </w:tc>
        <w:tc>
          <w:tcPr>
            <w:tcW w:w="748" w:type="pct"/>
            <w:shd w:val="clear" w:color="auto" w:fill="auto"/>
          </w:tcPr>
          <w:p w14:paraId="5EF4795B" w14:textId="77777777" w:rsidR="00890DFA" w:rsidRPr="0017697F" w:rsidRDefault="004C6CDF" w:rsidP="0042069D">
            <w:pPr>
              <w:pStyle w:val="a5"/>
              <w:spacing w:after="120" w:line="240" w:lineRule="auto"/>
              <w:rPr>
                <w:sz w:val="24"/>
                <w:szCs w:val="22"/>
                <w:lang w:val="en-US"/>
              </w:rPr>
            </w:pPr>
            <w:r w:rsidRPr="0017697F">
              <w:rPr>
                <w:sz w:val="24"/>
                <w:szCs w:val="22"/>
                <w:lang w:val="en-US"/>
              </w:rPr>
              <w:t>- 500 μg</w:t>
            </w:r>
          </w:p>
        </w:tc>
      </w:tr>
      <w:tr w:rsidR="007E682E" w:rsidRPr="0017697F" w14:paraId="4B66EBAC" w14:textId="77777777" w:rsidTr="0042069D">
        <w:tc>
          <w:tcPr>
            <w:tcW w:w="4252" w:type="pct"/>
            <w:shd w:val="clear" w:color="auto" w:fill="auto"/>
          </w:tcPr>
          <w:p w14:paraId="3949BF01" w14:textId="77777777" w:rsidR="00890DFA" w:rsidRPr="0017697F" w:rsidRDefault="004C6CDF" w:rsidP="0042069D">
            <w:pPr>
              <w:pStyle w:val="a5"/>
              <w:spacing w:after="120" w:line="240" w:lineRule="auto"/>
              <w:rPr>
                <w:sz w:val="24"/>
                <w:szCs w:val="22"/>
                <w:lang w:val="en-US"/>
              </w:rPr>
            </w:pPr>
            <w:r w:rsidRPr="0017697F">
              <w:rPr>
                <w:i/>
                <w:iCs/>
                <w:sz w:val="24"/>
                <w:szCs w:val="22"/>
                <w:lang w:val="en-US"/>
              </w:rPr>
              <w:t>Excipients:</w:t>
            </w:r>
          </w:p>
        </w:tc>
        <w:tc>
          <w:tcPr>
            <w:tcW w:w="748" w:type="pct"/>
            <w:shd w:val="clear" w:color="auto" w:fill="auto"/>
          </w:tcPr>
          <w:p w14:paraId="5D3167C5" w14:textId="77777777" w:rsidR="00890DFA" w:rsidRPr="0017697F" w:rsidRDefault="004C6CDF" w:rsidP="0042069D">
            <w:pPr>
              <w:pStyle w:val="a5"/>
              <w:spacing w:after="120" w:line="240" w:lineRule="auto"/>
              <w:rPr>
                <w:sz w:val="24"/>
                <w:szCs w:val="9"/>
                <w:lang w:val="en-US"/>
              </w:rPr>
            </w:pPr>
            <w:r w:rsidRPr="0017697F">
              <w:rPr>
                <w:rFonts w:eastAsia="Arial"/>
                <w:color w:val="A09087"/>
                <w:sz w:val="24"/>
                <w:szCs w:val="9"/>
                <w:lang w:val="en-US"/>
              </w:rPr>
              <w:t>1</w:t>
            </w:r>
          </w:p>
        </w:tc>
      </w:tr>
      <w:tr w:rsidR="007E682E" w:rsidRPr="0017697F" w14:paraId="096389AA" w14:textId="77777777" w:rsidTr="0042069D">
        <w:tc>
          <w:tcPr>
            <w:tcW w:w="4252" w:type="pct"/>
            <w:shd w:val="clear" w:color="auto" w:fill="auto"/>
          </w:tcPr>
          <w:p w14:paraId="466C1008" w14:textId="77777777" w:rsidR="00890DFA" w:rsidRPr="0017697F" w:rsidRDefault="004C6CDF" w:rsidP="0042069D">
            <w:pPr>
              <w:pStyle w:val="a5"/>
              <w:spacing w:after="120" w:line="240" w:lineRule="auto"/>
              <w:rPr>
                <w:sz w:val="24"/>
                <w:szCs w:val="22"/>
                <w:lang w:val="en-US"/>
              </w:rPr>
            </w:pPr>
            <w:r w:rsidRPr="0017697F">
              <w:rPr>
                <w:sz w:val="24"/>
                <w:szCs w:val="22"/>
                <w:lang w:val="en-US"/>
              </w:rPr>
              <w:t>PBS - phosphate-buffered saline</w:t>
            </w:r>
          </w:p>
        </w:tc>
        <w:tc>
          <w:tcPr>
            <w:tcW w:w="748" w:type="pct"/>
            <w:shd w:val="clear" w:color="auto" w:fill="auto"/>
          </w:tcPr>
          <w:p w14:paraId="3AAFE7FC" w14:textId="77777777" w:rsidR="00890DFA" w:rsidRPr="0017697F" w:rsidRDefault="004C6CDF" w:rsidP="0042069D">
            <w:pPr>
              <w:pStyle w:val="a5"/>
              <w:spacing w:after="120" w:line="240" w:lineRule="auto"/>
              <w:rPr>
                <w:sz w:val="24"/>
                <w:szCs w:val="22"/>
                <w:lang w:val="en-US"/>
              </w:rPr>
            </w:pPr>
            <w:r w:rsidRPr="0017697F">
              <w:rPr>
                <w:sz w:val="24"/>
                <w:szCs w:val="22"/>
                <w:lang w:val="en-US"/>
              </w:rPr>
              <w:t>up to 0.5 mL</w:t>
            </w:r>
          </w:p>
        </w:tc>
      </w:tr>
      <w:tr w:rsidR="007E682E" w:rsidRPr="0017697F" w14:paraId="0D5690FC" w14:textId="77777777" w:rsidTr="0042069D">
        <w:tc>
          <w:tcPr>
            <w:tcW w:w="4252" w:type="pct"/>
            <w:shd w:val="clear" w:color="auto" w:fill="auto"/>
          </w:tcPr>
          <w:p w14:paraId="4AA4ED70" w14:textId="77777777" w:rsidR="00890DFA" w:rsidRPr="0017697F" w:rsidRDefault="004C6CDF" w:rsidP="0042069D">
            <w:pPr>
              <w:pStyle w:val="a5"/>
              <w:spacing w:after="120" w:line="240" w:lineRule="auto"/>
              <w:rPr>
                <w:sz w:val="24"/>
                <w:szCs w:val="22"/>
                <w:lang w:val="en-US"/>
              </w:rPr>
            </w:pPr>
            <w:r w:rsidRPr="0017697F">
              <w:rPr>
                <w:sz w:val="24"/>
                <w:szCs w:val="22"/>
                <w:lang w:val="en-US"/>
              </w:rPr>
              <w:t>Thimerosal ***</w:t>
            </w:r>
          </w:p>
        </w:tc>
        <w:tc>
          <w:tcPr>
            <w:tcW w:w="748" w:type="pct"/>
            <w:shd w:val="clear" w:color="auto" w:fill="auto"/>
          </w:tcPr>
          <w:p w14:paraId="3435C1BF" w14:textId="77777777" w:rsidR="00890DFA" w:rsidRPr="0017697F" w:rsidRDefault="004C6CDF" w:rsidP="0042069D">
            <w:pPr>
              <w:pStyle w:val="a5"/>
              <w:spacing w:after="120" w:line="240" w:lineRule="auto"/>
              <w:rPr>
                <w:sz w:val="24"/>
                <w:szCs w:val="22"/>
                <w:lang w:val="en-US"/>
              </w:rPr>
            </w:pPr>
            <w:r w:rsidRPr="0017697F">
              <w:rPr>
                <w:sz w:val="24"/>
                <w:szCs w:val="22"/>
                <w:lang w:val="en-US"/>
              </w:rPr>
              <w:t>50 μg</w:t>
            </w:r>
          </w:p>
        </w:tc>
      </w:tr>
    </w:tbl>
    <w:p w14:paraId="4D04C9CB" w14:textId="77777777" w:rsidR="00890DFA" w:rsidRPr="0017697F" w:rsidRDefault="00890DFA" w:rsidP="0042069D">
      <w:pPr>
        <w:spacing w:after="120"/>
        <w:jc w:val="both"/>
        <w:rPr>
          <w:lang w:val="en-US"/>
        </w:rPr>
      </w:pPr>
    </w:p>
    <w:p w14:paraId="612B8C8A" w14:textId="7F8FECA5" w:rsidR="00890DFA" w:rsidRPr="0017697F" w:rsidRDefault="004C6CDF" w:rsidP="0042069D">
      <w:pPr>
        <w:pStyle w:val="1"/>
        <w:tabs>
          <w:tab w:val="left" w:pos="464"/>
        </w:tabs>
        <w:spacing w:after="120" w:line="240" w:lineRule="auto"/>
        <w:jc w:val="both"/>
        <w:rPr>
          <w:sz w:val="24"/>
          <w:szCs w:val="22"/>
          <w:lang w:val="en-US"/>
        </w:rPr>
      </w:pPr>
      <w:r w:rsidRPr="0017697F">
        <w:rPr>
          <w:i/>
          <w:iCs/>
          <w:sz w:val="24"/>
          <w:szCs w:val="22"/>
          <w:lang w:val="en-US"/>
        </w:rPr>
        <w:t>* - strains of influenza virus antigen - in accordance with the guidelines of WHO for the current epidemic season for the Northern hemisphere;</w:t>
      </w:r>
    </w:p>
    <w:p w14:paraId="5EBB6638" w14:textId="77777777" w:rsidR="00890DFA" w:rsidRPr="0017697F" w:rsidRDefault="004C6CDF" w:rsidP="0042069D">
      <w:pPr>
        <w:pStyle w:val="1"/>
        <w:spacing w:after="120" w:line="240" w:lineRule="auto"/>
        <w:jc w:val="both"/>
        <w:rPr>
          <w:sz w:val="24"/>
          <w:szCs w:val="22"/>
          <w:lang w:val="en-US"/>
        </w:rPr>
      </w:pPr>
      <w:r w:rsidRPr="0017697F">
        <w:rPr>
          <w:i/>
          <w:iCs/>
          <w:sz w:val="24"/>
          <w:szCs w:val="22"/>
          <w:lang w:val="en-US"/>
        </w:rPr>
        <w:t>** - equivalent to active ingredient Azoximer bromide, excipients - mannitol, povidone;</w:t>
      </w:r>
    </w:p>
    <w:p w14:paraId="0D0CCD4C" w14:textId="77777777" w:rsidR="0042069D" w:rsidRPr="0017697F" w:rsidRDefault="004C6CDF" w:rsidP="0042069D">
      <w:pPr>
        <w:pStyle w:val="1"/>
        <w:spacing w:after="120" w:line="240" w:lineRule="auto"/>
        <w:jc w:val="both"/>
        <w:rPr>
          <w:i/>
          <w:iCs/>
          <w:sz w:val="24"/>
          <w:szCs w:val="22"/>
          <w:lang w:val="en-US"/>
        </w:rPr>
      </w:pPr>
      <w:r w:rsidRPr="0017697F">
        <w:rPr>
          <w:i/>
          <w:iCs/>
          <w:sz w:val="24"/>
          <w:szCs w:val="22"/>
          <w:lang w:val="en-US"/>
        </w:rPr>
        <w:t>*** - preservative thiomersal - only for multidose vial (10 doses - 5 mL in vial).</w:t>
      </w:r>
    </w:p>
    <w:p w14:paraId="564D5540" w14:textId="4F766BA7" w:rsidR="00890DFA" w:rsidRPr="0017697F" w:rsidRDefault="004C6CDF" w:rsidP="0042069D">
      <w:pPr>
        <w:pStyle w:val="1"/>
        <w:spacing w:after="120" w:line="240" w:lineRule="auto"/>
        <w:jc w:val="both"/>
        <w:rPr>
          <w:sz w:val="24"/>
          <w:szCs w:val="22"/>
          <w:lang w:val="en-US"/>
        </w:rPr>
      </w:pPr>
      <w:r w:rsidRPr="0017697F">
        <w:rPr>
          <w:sz w:val="24"/>
          <w:lang w:val="en-US"/>
        </w:rPr>
        <w:br w:type="page"/>
      </w:r>
    </w:p>
    <w:p w14:paraId="6FCC4918"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lastRenderedPageBreak/>
        <w:t>Notes:</w:t>
      </w:r>
    </w:p>
    <w:p w14:paraId="0B1D1D8D"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1. The composition of phosphate-buffered saline includes: potassium chloride, potassium dihydrogen phosphate, sodium chloride, water for injection.</w:t>
      </w:r>
    </w:p>
    <w:p w14:paraId="77035933"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2. Triton X-100 may also present in influenza virus antigens as an excipient.</w:t>
      </w:r>
    </w:p>
    <w:p w14:paraId="5681F575" w14:textId="77777777" w:rsidR="00890DFA" w:rsidRPr="0017697F" w:rsidRDefault="004C6CDF" w:rsidP="0042069D">
      <w:pPr>
        <w:pStyle w:val="20"/>
        <w:keepNext/>
        <w:keepLines/>
        <w:spacing w:after="120"/>
        <w:jc w:val="both"/>
        <w:rPr>
          <w:sz w:val="24"/>
          <w:szCs w:val="22"/>
          <w:lang w:val="en-US"/>
        </w:rPr>
      </w:pPr>
      <w:r w:rsidRPr="0017697F">
        <w:rPr>
          <w:b/>
          <w:bCs/>
          <w:sz w:val="24"/>
          <w:szCs w:val="22"/>
          <w:lang w:val="en-US"/>
        </w:rPr>
        <w:t>Appearance</w:t>
      </w:r>
    </w:p>
    <w:p w14:paraId="52B27420"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Colorless or white off slightly opalescent fluid.</w:t>
      </w:r>
    </w:p>
    <w:p w14:paraId="231DDBAC" w14:textId="77777777" w:rsidR="00890DFA" w:rsidRPr="0017697F" w:rsidRDefault="004C6CDF" w:rsidP="0042069D">
      <w:pPr>
        <w:pStyle w:val="20"/>
        <w:keepNext/>
        <w:keepLines/>
        <w:spacing w:after="120"/>
        <w:jc w:val="both"/>
        <w:rPr>
          <w:sz w:val="24"/>
          <w:szCs w:val="22"/>
          <w:lang w:val="en-US"/>
        </w:rPr>
      </w:pPr>
      <w:r w:rsidRPr="0017697F">
        <w:rPr>
          <w:b/>
          <w:bCs/>
          <w:sz w:val="24"/>
          <w:szCs w:val="22"/>
          <w:lang w:val="en-US"/>
        </w:rPr>
        <w:t>Characteristics of the preparation</w:t>
      </w:r>
    </w:p>
    <w:p w14:paraId="4B812C7A" w14:textId="5B1F785C" w:rsidR="00890DFA" w:rsidRPr="0017697F" w:rsidRDefault="004C6CDF" w:rsidP="0042069D">
      <w:pPr>
        <w:pStyle w:val="1"/>
        <w:spacing w:after="120" w:line="240" w:lineRule="auto"/>
        <w:jc w:val="both"/>
        <w:rPr>
          <w:sz w:val="24"/>
          <w:szCs w:val="22"/>
          <w:lang w:val="en-US"/>
        </w:rPr>
      </w:pPr>
      <w:r w:rsidRPr="0017697F">
        <w:rPr>
          <w:sz w:val="24"/>
          <w:szCs w:val="22"/>
          <w:lang w:val="en-US"/>
        </w:rPr>
        <w:t>The vaccine is protective antigens (hemagglutinin and neuraminidase) of epidemically actual strains of subtypes A (H</w:t>
      </w:r>
      <w:r w:rsidRPr="0017697F">
        <w:rPr>
          <w:sz w:val="24"/>
          <w:szCs w:val="22"/>
          <w:vertAlign w:val="subscript"/>
          <w:lang w:val="en-US" w:eastAsia="en-US" w:bidi="en-US"/>
        </w:rPr>
        <w:t>1</w:t>
      </w:r>
      <w:r w:rsidRPr="0017697F">
        <w:rPr>
          <w:sz w:val="24"/>
          <w:szCs w:val="22"/>
          <w:lang w:val="en-US"/>
        </w:rPr>
        <w:t>N</w:t>
      </w:r>
      <w:r w:rsidRPr="0017697F">
        <w:rPr>
          <w:sz w:val="24"/>
          <w:szCs w:val="22"/>
          <w:vertAlign w:val="subscript"/>
          <w:lang w:val="en-US" w:eastAsia="en-US" w:bidi="en-US"/>
        </w:rPr>
        <w:t>1</w:t>
      </w:r>
      <w:r w:rsidRPr="0017697F">
        <w:rPr>
          <w:sz w:val="24"/>
          <w:szCs w:val="22"/>
          <w:lang w:val="en-US"/>
        </w:rPr>
        <w:t>), A(H</w:t>
      </w:r>
      <w:r w:rsidRPr="0017697F">
        <w:rPr>
          <w:sz w:val="24"/>
          <w:szCs w:val="22"/>
          <w:vertAlign w:val="subscript"/>
          <w:lang w:val="en-US" w:eastAsia="en-US" w:bidi="en-US"/>
        </w:rPr>
        <w:t>3</w:t>
      </w:r>
      <w:r w:rsidRPr="0017697F">
        <w:rPr>
          <w:sz w:val="24"/>
          <w:szCs w:val="22"/>
          <w:lang w:val="en-US"/>
        </w:rPr>
        <w:t>N</w:t>
      </w:r>
      <w:r w:rsidRPr="0017697F">
        <w:rPr>
          <w:sz w:val="24"/>
          <w:szCs w:val="22"/>
          <w:vertAlign w:val="subscript"/>
          <w:lang w:val="en-US" w:eastAsia="en-US" w:bidi="en-US"/>
        </w:rPr>
        <w:t>2</w:t>
      </w:r>
      <w:r w:rsidRPr="0017697F">
        <w:rPr>
          <w:sz w:val="24"/>
          <w:szCs w:val="22"/>
          <w:lang w:val="en-US"/>
        </w:rPr>
        <w:t>) of type A  and  type B Yamagata line and Victoria line influenza viruses, isolated from virus-containing chick-embryo allantoic fluid in combination  with immunoadjuvant Polyoxidonium® (INN: Azoximer bromide).</w:t>
      </w:r>
    </w:p>
    <w:p w14:paraId="359419BD"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The strain composition of vaccine is updated annually in accordance with epidemic situations and guidelines of WHO for the Northern hemisphere.</w:t>
      </w:r>
    </w:p>
    <w:p w14:paraId="0DAC4433" w14:textId="77777777" w:rsidR="00890DFA" w:rsidRPr="0017697F" w:rsidRDefault="004C6CDF" w:rsidP="0042069D">
      <w:pPr>
        <w:pStyle w:val="20"/>
        <w:keepNext/>
        <w:keepLines/>
        <w:spacing w:after="120"/>
        <w:jc w:val="both"/>
        <w:rPr>
          <w:sz w:val="24"/>
          <w:szCs w:val="22"/>
          <w:lang w:val="en-US"/>
        </w:rPr>
      </w:pPr>
      <w:r w:rsidRPr="0017697F">
        <w:rPr>
          <w:b/>
          <w:bCs/>
          <w:sz w:val="24"/>
          <w:szCs w:val="22"/>
          <w:lang w:val="en-US"/>
        </w:rPr>
        <w:t xml:space="preserve">Pharmacotherapeutic group: </w:t>
      </w:r>
      <w:r w:rsidRPr="0017697F">
        <w:rPr>
          <w:sz w:val="24"/>
          <w:szCs w:val="22"/>
          <w:lang w:val="en-US"/>
        </w:rPr>
        <w:t>MIBP-vaccine.</w:t>
      </w:r>
    </w:p>
    <w:p w14:paraId="24C11885" w14:textId="77777777" w:rsidR="00890DFA" w:rsidRPr="0017697F" w:rsidRDefault="004C6CDF" w:rsidP="0042069D">
      <w:pPr>
        <w:pStyle w:val="20"/>
        <w:keepNext/>
        <w:keepLines/>
        <w:spacing w:after="120"/>
        <w:jc w:val="both"/>
        <w:rPr>
          <w:sz w:val="24"/>
          <w:szCs w:val="22"/>
          <w:lang w:val="en-US"/>
        </w:rPr>
      </w:pPr>
      <w:r w:rsidRPr="0017697F">
        <w:rPr>
          <w:b/>
          <w:bCs/>
          <w:sz w:val="24"/>
          <w:szCs w:val="22"/>
          <w:lang w:val="en-US"/>
        </w:rPr>
        <w:t>ATC code:</w:t>
      </w:r>
      <w:r w:rsidRPr="0017697F">
        <w:rPr>
          <w:sz w:val="24"/>
          <w:szCs w:val="22"/>
          <w:lang w:val="en-US" w:eastAsia="en-US" w:bidi="en-US"/>
        </w:rPr>
        <w:t>J07BB02.</w:t>
      </w:r>
    </w:p>
    <w:p w14:paraId="1ED65E71" w14:textId="77777777" w:rsidR="00890DFA" w:rsidRPr="0017697F" w:rsidRDefault="004C6CDF" w:rsidP="0042069D">
      <w:pPr>
        <w:pStyle w:val="20"/>
        <w:keepNext/>
        <w:keepLines/>
        <w:spacing w:after="120"/>
        <w:jc w:val="both"/>
        <w:rPr>
          <w:sz w:val="24"/>
          <w:szCs w:val="22"/>
          <w:lang w:val="en-US"/>
        </w:rPr>
      </w:pPr>
      <w:r w:rsidRPr="0017697F">
        <w:rPr>
          <w:b/>
          <w:bCs/>
          <w:sz w:val="24"/>
          <w:szCs w:val="22"/>
          <w:lang w:val="en-US"/>
        </w:rPr>
        <w:t>Immunological properties</w:t>
      </w:r>
    </w:p>
    <w:p w14:paraId="20F1CA67"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The vaccine induces formation of high level of specific immune response against influenza. The protective effect post vaccination generally develops after 8-12  days and preserves till 12  months.</w:t>
      </w:r>
    </w:p>
    <w:p w14:paraId="76EE917B"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Addition of immunoadjuvant Polyoxidonium® with wide range of immunopharmacological action into the vaccine, ensures increased immunogenicity and antigen stability, allows to increase immunologic memory, to decrease substantially antigen vaccine dose.</w:t>
      </w:r>
    </w:p>
    <w:p w14:paraId="426D45BD" w14:textId="77777777" w:rsidR="00891612" w:rsidRPr="0017697F" w:rsidRDefault="00891612" w:rsidP="00891612">
      <w:pPr>
        <w:pStyle w:val="a5"/>
        <w:spacing w:after="120" w:line="240" w:lineRule="auto"/>
        <w:rPr>
          <w:sz w:val="24"/>
          <w:szCs w:val="26"/>
          <w:lang w:val="en-US"/>
        </w:rPr>
      </w:pPr>
      <w:r w:rsidRPr="0017697F">
        <w:rPr>
          <w:b/>
          <w:bCs/>
          <w:sz w:val="24"/>
          <w:szCs w:val="26"/>
          <w:lang w:val="en-US"/>
        </w:rPr>
        <w:t>Indications for use</w:t>
      </w:r>
    </w:p>
    <w:p w14:paraId="751936FA" w14:textId="77777777" w:rsidR="00891612" w:rsidRPr="0017697F" w:rsidRDefault="00891612" w:rsidP="00891612">
      <w:pPr>
        <w:pStyle w:val="a5"/>
        <w:spacing w:after="120" w:line="240" w:lineRule="auto"/>
        <w:rPr>
          <w:sz w:val="24"/>
          <w:szCs w:val="26"/>
          <w:lang w:val="en-US"/>
        </w:rPr>
      </w:pPr>
      <w:r w:rsidRPr="0017697F">
        <w:rPr>
          <w:sz w:val="24"/>
          <w:szCs w:val="26"/>
          <w:lang w:val="en-US"/>
        </w:rPr>
        <w:t>Specific influenza prophylaxis in children over 6 years of age, adolescents and adults under 60 years of age.</w:t>
      </w:r>
    </w:p>
    <w:p w14:paraId="635F146C" w14:textId="77777777" w:rsidR="00891612" w:rsidRPr="0017697F" w:rsidRDefault="00891612" w:rsidP="00891612">
      <w:pPr>
        <w:pStyle w:val="a5"/>
        <w:tabs>
          <w:tab w:val="left" w:pos="2419"/>
          <w:tab w:val="left" w:pos="4214"/>
        </w:tabs>
        <w:spacing w:after="120" w:line="240" w:lineRule="auto"/>
        <w:rPr>
          <w:sz w:val="24"/>
          <w:szCs w:val="26"/>
          <w:lang w:val="en-US"/>
        </w:rPr>
      </w:pPr>
      <w:r w:rsidRPr="0017697F">
        <w:rPr>
          <w:sz w:val="24"/>
          <w:szCs w:val="26"/>
          <w:lang w:val="en-US"/>
        </w:rPr>
        <w:t>The preservative-free vaccine is used to immunize children from 6 to 18 years of age.</w:t>
      </w:r>
    </w:p>
    <w:p w14:paraId="519F59F6" w14:textId="77777777" w:rsidR="00891612" w:rsidRPr="0017697F" w:rsidRDefault="00891612" w:rsidP="00891612">
      <w:pPr>
        <w:pStyle w:val="a5"/>
        <w:spacing w:after="120" w:line="240" w:lineRule="auto"/>
        <w:rPr>
          <w:sz w:val="24"/>
          <w:szCs w:val="26"/>
          <w:lang w:val="en-US"/>
        </w:rPr>
      </w:pPr>
      <w:r w:rsidRPr="0017697F">
        <w:rPr>
          <w:sz w:val="24"/>
          <w:szCs w:val="26"/>
          <w:lang w:val="en-US"/>
        </w:rPr>
        <w:t>Vaccine is specifically indicated to:</w:t>
      </w:r>
    </w:p>
    <w:p w14:paraId="694B0D54" w14:textId="77777777" w:rsidR="00891612" w:rsidRPr="0017697F" w:rsidRDefault="00891612" w:rsidP="00891612">
      <w:pPr>
        <w:pStyle w:val="a5"/>
        <w:spacing w:after="120" w:line="240" w:lineRule="auto"/>
        <w:rPr>
          <w:sz w:val="24"/>
          <w:szCs w:val="26"/>
          <w:lang w:val="en-US"/>
        </w:rPr>
      </w:pPr>
      <w:r w:rsidRPr="0017697F">
        <w:rPr>
          <w:sz w:val="24"/>
          <w:szCs w:val="26"/>
          <w:lang w:val="en-US"/>
        </w:rPr>
        <w:t xml:space="preserve">1. </w:t>
      </w:r>
      <w:r w:rsidRPr="0017697F">
        <w:rPr>
          <w:i/>
          <w:iCs/>
          <w:sz w:val="24"/>
          <w:szCs w:val="26"/>
          <w:lang w:val="en-US"/>
        </w:rPr>
        <w:t>Individuals at high risk for influenza-associated complications:</w:t>
      </w:r>
    </w:p>
    <w:p w14:paraId="1FDFDAC7" w14:textId="77777777" w:rsidR="00891612" w:rsidRPr="0017697F" w:rsidRDefault="00891612" w:rsidP="00891612">
      <w:pPr>
        <w:pStyle w:val="a5"/>
        <w:tabs>
          <w:tab w:val="left" w:pos="2875"/>
        </w:tabs>
        <w:spacing w:after="120" w:line="240" w:lineRule="auto"/>
        <w:rPr>
          <w:sz w:val="24"/>
          <w:szCs w:val="26"/>
          <w:lang w:val="en-US"/>
        </w:rPr>
      </w:pPr>
      <w:r w:rsidRPr="0017697F">
        <w:rPr>
          <w:sz w:val="24"/>
          <w:szCs w:val="26"/>
          <w:lang w:val="en-US"/>
        </w:rPr>
        <w:t>- individuals, who frequently ill with ARD,</w:t>
      </w:r>
      <w:r w:rsidRPr="00891612">
        <w:rPr>
          <w:sz w:val="24"/>
          <w:szCs w:val="26"/>
          <w:lang w:val="en-US"/>
        </w:rPr>
        <w:t xml:space="preserve"> </w:t>
      </w:r>
      <w:r w:rsidRPr="0017697F">
        <w:rPr>
          <w:sz w:val="24"/>
          <w:szCs w:val="26"/>
          <w:lang w:val="en-US"/>
        </w:rPr>
        <w:t>suffering chronic</w:t>
      </w:r>
    </w:p>
    <w:p w14:paraId="69D8D0F1" w14:textId="77777777" w:rsidR="00891612" w:rsidRPr="0017697F" w:rsidRDefault="00891612" w:rsidP="00891612">
      <w:pPr>
        <w:pStyle w:val="a5"/>
        <w:tabs>
          <w:tab w:val="left" w:pos="2736"/>
        </w:tabs>
        <w:spacing w:after="120" w:line="240" w:lineRule="auto"/>
        <w:rPr>
          <w:sz w:val="24"/>
          <w:szCs w:val="26"/>
          <w:lang w:val="en-US"/>
        </w:rPr>
      </w:pPr>
      <w:r w:rsidRPr="0017697F">
        <w:rPr>
          <w:sz w:val="24"/>
          <w:szCs w:val="26"/>
          <w:lang w:val="en-US"/>
        </w:rPr>
        <w:t xml:space="preserve">somatic diseases, including: diseases and congenital anomalies of central nervous system, cardiovascular and broncho-pulmonary </w:t>
      </w:r>
      <w:r w:rsidRPr="0017697F">
        <w:rPr>
          <w:sz w:val="24"/>
          <w:szCs w:val="26"/>
          <w:lang w:val="en-US"/>
        </w:rPr>
        <w:softHyphen/>
        <w:t>system, bronchial asthma, chronic kidney diseases, diabetes mellitus, metabolic diseases, autoimmune diseases, allergic diseases (except for allergy to chicken proteins); chronic anemia, hereditary or acquired immunodeficiency, HIV-associated;</w:t>
      </w:r>
    </w:p>
    <w:p w14:paraId="3DD4A6C9" w14:textId="77777777" w:rsidR="00891612" w:rsidRPr="0017697F" w:rsidRDefault="00891612" w:rsidP="00891612">
      <w:pPr>
        <w:pStyle w:val="a5"/>
        <w:spacing w:after="120" w:line="240" w:lineRule="auto"/>
        <w:rPr>
          <w:sz w:val="24"/>
          <w:szCs w:val="26"/>
          <w:lang w:val="en-US"/>
        </w:rPr>
      </w:pPr>
      <w:r w:rsidRPr="0017697F">
        <w:rPr>
          <w:sz w:val="24"/>
          <w:szCs w:val="26"/>
          <w:lang w:val="en-US"/>
        </w:rPr>
        <w:t>2.</w:t>
      </w:r>
      <w:r w:rsidRPr="0017697F">
        <w:rPr>
          <w:i/>
          <w:iCs/>
          <w:sz w:val="24"/>
          <w:szCs w:val="26"/>
          <w:lang w:val="en-US"/>
        </w:rPr>
        <w:t xml:space="preserve"> Individuals with high occupational risk of influenza infection or influenza contamination of other individuals:</w:t>
      </w:r>
    </w:p>
    <w:p w14:paraId="0A5F91BC" w14:textId="220F42D1" w:rsidR="00F84380" w:rsidRPr="00891612" w:rsidRDefault="00891612" w:rsidP="00891612">
      <w:pPr>
        <w:pStyle w:val="1"/>
        <w:spacing w:after="120" w:line="240" w:lineRule="auto"/>
        <w:jc w:val="both"/>
        <w:rPr>
          <w:sz w:val="24"/>
          <w:szCs w:val="22"/>
          <w:lang w:val="en-US"/>
        </w:rPr>
      </w:pPr>
      <w:r w:rsidRPr="0017697F">
        <w:rPr>
          <w:sz w:val="24"/>
          <w:szCs w:val="26"/>
          <w:lang w:val="en-US"/>
        </w:rPr>
        <w:t>medical staff, citizens who are subject to call-up for military service, employees of educational institutions, social service sphere, transport, trade, police, individuals, engaged in poultry industry, members of the military etc.</w:t>
      </w:r>
    </w:p>
    <w:p w14:paraId="3780763D" w14:textId="77777777" w:rsidR="00891612" w:rsidRPr="0017697F" w:rsidRDefault="00891612" w:rsidP="00891612">
      <w:pPr>
        <w:pStyle w:val="a5"/>
        <w:spacing w:after="120" w:line="240" w:lineRule="auto"/>
        <w:rPr>
          <w:sz w:val="24"/>
          <w:szCs w:val="26"/>
          <w:lang w:val="en-US"/>
        </w:rPr>
      </w:pPr>
      <w:r w:rsidRPr="0017697F">
        <w:rPr>
          <w:b/>
          <w:bCs/>
          <w:sz w:val="24"/>
          <w:szCs w:val="26"/>
          <w:lang w:val="en-US"/>
        </w:rPr>
        <w:t>Contraindications</w:t>
      </w:r>
    </w:p>
    <w:p w14:paraId="5644D734" w14:textId="77777777" w:rsidR="00891612" w:rsidRPr="0017697F" w:rsidRDefault="00891612" w:rsidP="00891612">
      <w:pPr>
        <w:pStyle w:val="a5"/>
        <w:spacing w:after="120" w:line="240" w:lineRule="auto"/>
        <w:rPr>
          <w:sz w:val="24"/>
          <w:szCs w:val="26"/>
          <w:lang w:val="en-US"/>
        </w:rPr>
      </w:pPr>
      <w:r w:rsidRPr="0017697F">
        <w:rPr>
          <w:sz w:val="24"/>
          <w:szCs w:val="26"/>
          <w:lang w:val="en-US"/>
        </w:rPr>
        <w:t>- Allergic reaction to chicken protein and vaccinal components, including thiomersal, contained in multidose vials.</w:t>
      </w:r>
    </w:p>
    <w:p w14:paraId="2A00C5F3" w14:textId="77777777" w:rsidR="00891612" w:rsidRPr="0017697F" w:rsidRDefault="00891612" w:rsidP="00891612">
      <w:pPr>
        <w:pStyle w:val="a5"/>
        <w:spacing w:after="120" w:line="240" w:lineRule="auto"/>
        <w:rPr>
          <w:sz w:val="24"/>
          <w:szCs w:val="26"/>
          <w:lang w:val="en-US"/>
        </w:rPr>
      </w:pPr>
      <w:r w:rsidRPr="0017697F">
        <w:rPr>
          <w:sz w:val="24"/>
          <w:szCs w:val="26"/>
          <w:lang w:val="en-US"/>
        </w:rPr>
        <w:t>- Allergic reactions to previously administered influenza vaccines.</w:t>
      </w:r>
    </w:p>
    <w:p w14:paraId="7AB6CFDE" w14:textId="77777777" w:rsidR="00891612" w:rsidRPr="0017697F" w:rsidRDefault="00891612" w:rsidP="00891612">
      <w:pPr>
        <w:pStyle w:val="a5"/>
        <w:spacing w:after="120" w:line="240" w:lineRule="auto"/>
        <w:rPr>
          <w:sz w:val="24"/>
          <w:szCs w:val="26"/>
          <w:lang w:val="en-US"/>
        </w:rPr>
      </w:pPr>
      <w:r w:rsidRPr="0017697F">
        <w:rPr>
          <w:sz w:val="24"/>
          <w:szCs w:val="26"/>
          <w:lang w:val="en-US"/>
        </w:rPr>
        <w:lastRenderedPageBreak/>
        <w:t xml:space="preserve">- Strong reaction (temperature is above 40 °C, edema and hyperemia at injection site over 8 cm in diameter) or history of complications to previous administration of influenza vaccines. </w:t>
      </w:r>
    </w:p>
    <w:p w14:paraId="52517A9F" w14:textId="77777777" w:rsidR="00891612" w:rsidRPr="0017697F" w:rsidRDefault="00891612" w:rsidP="00891612">
      <w:pPr>
        <w:pStyle w:val="a5"/>
        <w:tabs>
          <w:tab w:val="left" w:pos="3043"/>
        </w:tabs>
        <w:spacing w:after="120" w:line="240" w:lineRule="auto"/>
        <w:rPr>
          <w:sz w:val="24"/>
          <w:szCs w:val="26"/>
          <w:lang w:val="en-US"/>
        </w:rPr>
      </w:pPr>
      <w:r w:rsidRPr="0017697F">
        <w:rPr>
          <w:sz w:val="24"/>
          <w:szCs w:val="26"/>
          <w:lang w:val="en-US"/>
        </w:rPr>
        <w:t>Acute infectious or non-infectious diseases, exacerbations of chronic diseases - vaccinations are performed 2-4 weeks after recovery or during convalescence or remission period.</w:t>
      </w:r>
    </w:p>
    <w:p w14:paraId="1ADA1316" w14:textId="77777777" w:rsidR="00891612" w:rsidRPr="0017697F" w:rsidRDefault="00891612" w:rsidP="00891612">
      <w:pPr>
        <w:pStyle w:val="a5"/>
        <w:spacing w:after="120" w:line="240" w:lineRule="auto"/>
        <w:rPr>
          <w:sz w:val="24"/>
          <w:szCs w:val="26"/>
          <w:lang w:val="en-US"/>
        </w:rPr>
      </w:pPr>
      <w:r w:rsidRPr="0017697F">
        <w:rPr>
          <w:sz w:val="24"/>
          <w:szCs w:val="26"/>
          <w:lang w:val="en-US"/>
        </w:rPr>
        <w:t>- In non-severe ARVI, acute intestinal diseases the vaccination is performed after normalization of temperature.</w:t>
      </w:r>
    </w:p>
    <w:p w14:paraId="3B1AE6FE" w14:textId="77777777" w:rsidR="00891612" w:rsidRPr="0017697F" w:rsidRDefault="00891612" w:rsidP="00891612">
      <w:pPr>
        <w:pStyle w:val="a5"/>
        <w:spacing w:after="120" w:line="240" w:lineRule="auto"/>
        <w:rPr>
          <w:sz w:val="24"/>
          <w:szCs w:val="26"/>
          <w:lang w:val="en-US"/>
        </w:rPr>
      </w:pPr>
      <w:r w:rsidRPr="0017697F">
        <w:rPr>
          <w:sz w:val="24"/>
          <w:szCs w:val="26"/>
          <w:lang w:val="en-US"/>
        </w:rPr>
        <w:t>- Children aged below 6 years.</w:t>
      </w:r>
    </w:p>
    <w:p w14:paraId="2EC3ADCD" w14:textId="121C7A5D" w:rsidR="00890DFA" w:rsidRDefault="00891612" w:rsidP="00891612">
      <w:pPr>
        <w:pStyle w:val="1"/>
        <w:spacing w:after="120" w:line="240" w:lineRule="auto"/>
        <w:jc w:val="both"/>
        <w:rPr>
          <w:sz w:val="24"/>
          <w:szCs w:val="22"/>
          <w:lang w:val="en-US"/>
        </w:rPr>
      </w:pPr>
      <w:r w:rsidRPr="0017697F">
        <w:rPr>
          <w:sz w:val="24"/>
          <w:szCs w:val="26"/>
          <w:lang w:val="en-US"/>
        </w:rPr>
        <w:t>- Age below 18 years (using the vaccine, containing preservative thiomersal).</w:t>
      </w:r>
    </w:p>
    <w:p w14:paraId="52A74AA9" w14:textId="5552022A" w:rsidR="00891612" w:rsidRPr="0017697F" w:rsidRDefault="00891612" w:rsidP="0042069D">
      <w:pPr>
        <w:pStyle w:val="1"/>
        <w:spacing w:after="120" w:line="240" w:lineRule="auto"/>
        <w:jc w:val="both"/>
        <w:rPr>
          <w:sz w:val="24"/>
          <w:szCs w:val="22"/>
          <w:lang w:val="en-US"/>
        </w:rPr>
      </w:pPr>
      <w:r w:rsidRPr="0017697F">
        <w:rPr>
          <w:sz w:val="24"/>
          <w:szCs w:val="26"/>
          <w:lang w:val="en-US"/>
        </w:rPr>
        <w:t>- Pregnancy (using the vaccine, containing preservative thiomersal).</w:t>
      </w:r>
    </w:p>
    <w:p w14:paraId="23EF6997" w14:textId="77777777" w:rsidR="00890DFA" w:rsidRPr="0017697F" w:rsidRDefault="004C6CDF" w:rsidP="0042069D">
      <w:pPr>
        <w:pStyle w:val="1"/>
        <w:spacing w:after="120" w:line="240" w:lineRule="auto"/>
        <w:jc w:val="both"/>
        <w:rPr>
          <w:sz w:val="24"/>
          <w:szCs w:val="22"/>
          <w:lang w:val="en-US"/>
        </w:rPr>
      </w:pPr>
      <w:r w:rsidRPr="0017697F">
        <w:rPr>
          <w:b/>
          <w:bCs/>
          <w:sz w:val="24"/>
          <w:szCs w:val="22"/>
          <w:lang w:val="en-US"/>
        </w:rPr>
        <w:t>With caution</w:t>
      </w:r>
    </w:p>
    <w:p w14:paraId="32B290B6"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Not for intravenous injection!</w:t>
      </w:r>
    </w:p>
    <w:p w14:paraId="07665B34"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Antishock medicinal products should be envisaged in rooms, where vaccination is performed.</w:t>
      </w:r>
    </w:p>
    <w:p w14:paraId="7CC59F7F"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 xml:space="preserve"> A vaccinated person should be under follow-up with healthcare provider for 30 min post immunization.</w:t>
      </w:r>
    </w:p>
    <w:p w14:paraId="4484C186" w14:textId="77777777" w:rsidR="00890DFA" w:rsidRPr="0017697F" w:rsidRDefault="004C6CDF" w:rsidP="0042069D">
      <w:pPr>
        <w:pStyle w:val="1"/>
        <w:spacing w:after="120" w:line="240" w:lineRule="auto"/>
        <w:jc w:val="both"/>
        <w:rPr>
          <w:sz w:val="24"/>
          <w:szCs w:val="22"/>
          <w:lang w:val="en-US"/>
        </w:rPr>
      </w:pPr>
      <w:r w:rsidRPr="0017697F">
        <w:rPr>
          <w:b/>
          <w:bCs/>
          <w:sz w:val="24"/>
          <w:szCs w:val="22"/>
          <w:lang w:val="en-US"/>
        </w:rPr>
        <w:t>Use during pregnancy and lactation</w:t>
      </w:r>
    </w:p>
    <w:p w14:paraId="34010B38"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The decision concerning immunization of pregnant women should be taken individually by a physician considering a risk of influenza infection and possible complications of influenza infection. The immunization is most safe at the second and third trimester.</w:t>
      </w:r>
    </w:p>
    <w:p w14:paraId="27183F82"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Breastfeeding is not a contraindication for immunization.</w:t>
      </w:r>
    </w:p>
    <w:p w14:paraId="51258FD1" w14:textId="77777777" w:rsidR="00891612" w:rsidRPr="0017697F" w:rsidRDefault="00891612" w:rsidP="00891612">
      <w:pPr>
        <w:pStyle w:val="a5"/>
        <w:spacing w:after="120" w:line="240" w:lineRule="auto"/>
        <w:rPr>
          <w:sz w:val="24"/>
          <w:szCs w:val="26"/>
          <w:lang w:val="en-US"/>
        </w:rPr>
      </w:pPr>
      <w:r w:rsidRPr="0017697F">
        <w:rPr>
          <w:b/>
          <w:bCs/>
          <w:sz w:val="24"/>
          <w:szCs w:val="26"/>
          <w:lang w:val="en-US"/>
        </w:rPr>
        <w:t>Dosage and Administration</w:t>
      </w:r>
    </w:p>
    <w:p w14:paraId="290B352C" w14:textId="77777777" w:rsidR="00891612" w:rsidRPr="0017697F" w:rsidRDefault="00891612" w:rsidP="00891612">
      <w:pPr>
        <w:pStyle w:val="a5"/>
        <w:spacing w:after="120" w:line="240" w:lineRule="auto"/>
        <w:rPr>
          <w:sz w:val="24"/>
          <w:szCs w:val="26"/>
          <w:lang w:val="en-US"/>
        </w:rPr>
      </w:pPr>
      <w:r w:rsidRPr="0017697F">
        <w:rPr>
          <w:sz w:val="24"/>
          <w:szCs w:val="26"/>
          <w:lang w:val="en-US"/>
        </w:rPr>
        <w:t>The vaccination is performed annually in the autumn-winter period. The vaccination is possible at the beginning of epidemic raise of flu morbidity.</w:t>
      </w:r>
    </w:p>
    <w:p w14:paraId="2E039035" w14:textId="77777777" w:rsidR="00891612" w:rsidRPr="0017697F" w:rsidRDefault="00891612" w:rsidP="00891612">
      <w:pPr>
        <w:pStyle w:val="a5"/>
        <w:spacing w:after="120" w:line="240" w:lineRule="auto"/>
        <w:rPr>
          <w:sz w:val="24"/>
          <w:szCs w:val="26"/>
          <w:lang w:val="en-US"/>
        </w:rPr>
      </w:pPr>
      <w:r w:rsidRPr="0017697F">
        <w:rPr>
          <w:sz w:val="24"/>
          <w:szCs w:val="26"/>
          <w:lang w:val="en-US"/>
        </w:rPr>
        <w:t>The vaccine is administered intramuscularly or deep subcutaneously in the upper third of external surface of the upper arm (into the deltoid).</w:t>
      </w:r>
    </w:p>
    <w:p w14:paraId="3935BD83" w14:textId="59C01612" w:rsidR="00891612" w:rsidRPr="0017697F" w:rsidRDefault="00891612" w:rsidP="00891612">
      <w:pPr>
        <w:pStyle w:val="1"/>
        <w:spacing w:after="120" w:line="240" w:lineRule="auto"/>
        <w:jc w:val="both"/>
        <w:rPr>
          <w:sz w:val="24"/>
          <w:szCs w:val="22"/>
          <w:lang w:val="en-US"/>
        </w:rPr>
      </w:pPr>
      <w:r w:rsidRPr="0017697F">
        <w:rPr>
          <w:sz w:val="24"/>
          <w:szCs w:val="26"/>
          <w:lang w:val="en-US"/>
        </w:rPr>
        <w:t>Dosage for children from 6 years of age, adolescents and adults: 0.5 ml given as a single dose.</w:t>
      </w:r>
    </w:p>
    <w:p w14:paraId="250F379E" w14:textId="77777777" w:rsidR="00890DFA" w:rsidRPr="0017697F" w:rsidRDefault="004C6CDF" w:rsidP="0042069D">
      <w:pPr>
        <w:pStyle w:val="1"/>
        <w:spacing w:after="120" w:line="240" w:lineRule="auto"/>
        <w:jc w:val="both"/>
        <w:rPr>
          <w:sz w:val="24"/>
          <w:szCs w:val="22"/>
          <w:lang w:val="en-US"/>
        </w:rPr>
      </w:pPr>
      <w:r w:rsidRPr="0017697F">
        <w:rPr>
          <w:b/>
          <w:bCs/>
          <w:i/>
          <w:iCs/>
          <w:sz w:val="24"/>
          <w:szCs w:val="22"/>
          <w:lang w:val="en-US"/>
        </w:rPr>
        <w:t>For patients with immunodeficiency and those receiving immunosuppressive therapy</w:t>
      </w:r>
      <w:r w:rsidRPr="0017697F">
        <w:rPr>
          <w:sz w:val="24"/>
          <w:szCs w:val="22"/>
          <w:lang w:val="en-US"/>
        </w:rPr>
        <w:t xml:space="preserve"> the administration of vaccine in two doses 0.5 ml with 3-4-week interval is possible.</w:t>
      </w:r>
    </w:p>
    <w:p w14:paraId="53D5769F"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The vaccine should be kept till room temperature and mix well before use.</w:t>
      </w:r>
    </w:p>
    <w:p w14:paraId="3F34A3E1"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Using a syringe it is necessary to take off a protective cap from the needle and remove the air out of syringe, holding it in the vertical position with the needle upwards and slowly pressing to a plunger.</w:t>
      </w:r>
    </w:p>
    <w:p w14:paraId="617FBAB7" w14:textId="1874052F" w:rsidR="00890DFA" w:rsidRPr="0017697F" w:rsidRDefault="004C6CDF" w:rsidP="0042069D">
      <w:pPr>
        <w:pStyle w:val="1"/>
        <w:spacing w:after="120" w:line="240" w:lineRule="auto"/>
        <w:jc w:val="both"/>
        <w:rPr>
          <w:sz w:val="24"/>
          <w:szCs w:val="22"/>
          <w:lang w:val="en-US"/>
        </w:rPr>
      </w:pPr>
      <w:r w:rsidRPr="0017697F">
        <w:rPr>
          <w:sz w:val="24"/>
          <w:szCs w:val="22"/>
          <w:lang w:val="en-US"/>
        </w:rPr>
        <w:t xml:space="preserve">The opening of multidose vial is executed in strict compliance with aseptic and antiseptic regulations. Ahead of opening of a vial wipe out the external surface of its stopper with cotton wool, soaked with 70% alcohol, withdraw the vaccine into a disposable syringe and remove the air excess out of the syringe. A new sterile syringe with a new sterile needle should be used for each collected dose for each </w:t>
      </w:r>
      <w:r w:rsidR="0017697F" w:rsidRPr="0017697F">
        <w:rPr>
          <w:sz w:val="24"/>
          <w:szCs w:val="22"/>
          <w:lang w:val="en-US"/>
        </w:rPr>
        <w:t>patient</w:t>
      </w:r>
      <w:r w:rsidRPr="0017697F">
        <w:rPr>
          <w:sz w:val="24"/>
          <w:szCs w:val="22"/>
          <w:lang w:val="en-US"/>
        </w:rPr>
        <w:t xml:space="preserve">. Within the intervals between collections of doses and not later than 5 min after the last collection, it is necessary to place the vial into a fridge (but not into a freezer) for storage at temperature 2 to 8 °C. The medicinal product in  opened multidose vial may be used within a working day in compliance of appropriate </w:t>
      </w:r>
      <w:r w:rsidR="0017697F" w:rsidRPr="0017697F">
        <w:rPr>
          <w:sz w:val="24"/>
          <w:szCs w:val="22"/>
          <w:lang w:val="en-US"/>
        </w:rPr>
        <w:t>storage</w:t>
      </w:r>
      <w:r w:rsidRPr="0017697F">
        <w:rPr>
          <w:sz w:val="24"/>
          <w:szCs w:val="22"/>
          <w:lang w:val="en-US"/>
        </w:rPr>
        <w:t xml:space="preserve"> conditions.</w:t>
      </w:r>
    </w:p>
    <w:p w14:paraId="7C2ADF5C"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It is necessary to immediately dispose a partially utilised  multidose vial in cases as follows:</w:t>
      </w:r>
    </w:p>
    <w:p w14:paraId="13C7C74F"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 if it is impossible to assure sterility of withdraw of the vaccine;</w:t>
      </w:r>
    </w:p>
    <w:p w14:paraId="7235D0FA"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 probable or actual  contamination;</w:t>
      </w:r>
    </w:p>
    <w:p w14:paraId="159EF844" w14:textId="06831B92" w:rsidR="00890DFA" w:rsidRPr="0017697F" w:rsidRDefault="004C6CDF" w:rsidP="0042069D">
      <w:pPr>
        <w:pStyle w:val="1"/>
        <w:spacing w:after="120" w:line="240" w:lineRule="auto"/>
        <w:jc w:val="both"/>
        <w:rPr>
          <w:sz w:val="24"/>
          <w:szCs w:val="22"/>
          <w:lang w:val="en-US"/>
        </w:rPr>
      </w:pPr>
      <w:r w:rsidRPr="0017697F">
        <w:rPr>
          <w:sz w:val="24"/>
          <w:szCs w:val="22"/>
          <w:lang w:val="en-US"/>
        </w:rPr>
        <w:t xml:space="preserve">- change of </w:t>
      </w:r>
      <w:r w:rsidR="0017697F" w:rsidRPr="0017697F">
        <w:rPr>
          <w:sz w:val="24"/>
          <w:szCs w:val="22"/>
          <w:lang w:val="en-US"/>
        </w:rPr>
        <w:t>appearance</w:t>
      </w:r>
      <w:r w:rsidRPr="0017697F">
        <w:rPr>
          <w:sz w:val="24"/>
          <w:szCs w:val="22"/>
          <w:lang w:val="en-US"/>
        </w:rPr>
        <w:t xml:space="preserve"> and presence of impurities.</w:t>
      </w:r>
    </w:p>
    <w:p w14:paraId="0EA6FC7B"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lastRenderedPageBreak/>
        <w:t>The vaccine in multidose vial should be kept for all storage period in accordance with manufacture's recommendations, specified in patient information leaflet. After use all residues of the vaccine and package should be disposed using safe method in according to local regulations.</w:t>
      </w:r>
    </w:p>
    <w:p w14:paraId="3846E7EC" w14:textId="77777777" w:rsidR="00F84380" w:rsidRPr="0017697F" w:rsidRDefault="00F84380" w:rsidP="00F84380">
      <w:pPr>
        <w:pStyle w:val="a5"/>
        <w:spacing w:after="120" w:line="240" w:lineRule="auto"/>
        <w:rPr>
          <w:sz w:val="24"/>
          <w:szCs w:val="22"/>
          <w:lang w:val="en-US"/>
        </w:rPr>
      </w:pPr>
      <w:r w:rsidRPr="0017697F">
        <w:rPr>
          <w:b/>
          <w:bCs/>
          <w:sz w:val="24"/>
          <w:szCs w:val="22"/>
          <w:lang w:val="en-US"/>
        </w:rPr>
        <w:t>Adverse effects</w:t>
      </w:r>
    </w:p>
    <w:p w14:paraId="133C2353" w14:textId="77777777" w:rsidR="00F84380" w:rsidRPr="0017697F" w:rsidRDefault="00F84380" w:rsidP="00F84380">
      <w:pPr>
        <w:pStyle w:val="a5"/>
        <w:spacing w:after="120" w:line="240" w:lineRule="auto"/>
        <w:rPr>
          <w:sz w:val="24"/>
          <w:szCs w:val="22"/>
          <w:lang w:val="en-US"/>
        </w:rPr>
      </w:pPr>
      <w:r w:rsidRPr="0017697F">
        <w:rPr>
          <w:sz w:val="24"/>
          <w:szCs w:val="22"/>
          <w:lang w:val="en-US"/>
        </w:rPr>
        <w:t>The vaccine is a highly purified product and well-tolerated.</w:t>
      </w:r>
    </w:p>
    <w:p w14:paraId="0523F1C9" w14:textId="77777777" w:rsidR="00F84380" w:rsidRPr="0017697F" w:rsidRDefault="00F84380" w:rsidP="00F84380">
      <w:pPr>
        <w:pStyle w:val="a5"/>
        <w:spacing w:after="120" w:line="240" w:lineRule="auto"/>
        <w:rPr>
          <w:sz w:val="24"/>
          <w:szCs w:val="22"/>
          <w:lang w:val="en-US"/>
        </w:rPr>
      </w:pPr>
      <w:r w:rsidRPr="0017697F">
        <w:rPr>
          <w:sz w:val="24"/>
          <w:szCs w:val="22"/>
          <w:lang w:val="en-US"/>
        </w:rPr>
        <w:t>The rate of adverse events, registered during conduction of clinical trials, is presented in accordance with the ADR WHO classification.</w:t>
      </w:r>
    </w:p>
    <w:p w14:paraId="4EFF5C33" w14:textId="77777777" w:rsidR="00F84380" w:rsidRPr="0017697F" w:rsidRDefault="00F84380" w:rsidP="00F84380">
      <w:pPr>
        <w:pStyle w:val="a5"/>
        <w:spacing w:after="120" w:line="240" w:lineRule="auto"/>
        <w:rPr>
          <w:sz w:val="24"/>
          <w:szCs w:val="22"/>
          <w:lang w:val="en-US"/>
        </w:rPr>
      </w:pPr>
      <w:r w:rsidRPr="0017697F">
        <w:rPr>
          <w:sz w:val="24"/>
          <w:szCs w:val="22"/>
          <w:lang w:val="en-US"/>
        </w:rPr>
        <w:t>The rate of adverse events across the WHO classification: very frequent (&gt;1/10), frequent (&gt;1/100 and &lt;1/10), infrequent (&gt;1/1000 and &lt;1/100), rare (&gt;1/10000 and &lt;1/1000), very rare (&lt;1/10000).</w:t>
      </w:r>
    </w:p>
    <w:p w14:paraId="3580E280" w14:textId="77777777" w:rsidR="00F84380" w:rsidRPr="0017697F" w:rsidRDefault="00F84380" w:rsidP="00F84380">
      <w:pPr>
        <w:pStyle w:val="a5"/>
        <w:tabs>
          <w:tab w:val="left" w:pos="1505"/>
          <w:tab w:val="left" w:pos="2693"/>
          <w:tab w:val="left" w:pos="3406"/>
        </w:tabs>
        <w:spacing w:after="120" w:line="240" w:lineRule="auto"/>
        <w:rPr>
          <w:sz w:val="24"/>
          <w:szCs w:val="22"/>
          <w:lang w:val="en-US"/>
        </w:rPr>
      </w:pPr>
      <w:r w:rsidRPr="0017697F">
        <w:rPr>
          <w:sz w:val="24"/>
          <w:szCs w:val="22"/>
          <w:lang w:val="en-US"/>
        </w:rPr>
        <w:t>Blood and lymphatic system disorders: rare - increased lymph nodes.</w:t>
      </w:r>
    </w:p>
    <w:p w14:paraId="2C7E1767" w14:textId="77777777" w:rsidR="00F84380" w:rsidRPr="0017697F" w:rsidRDefault="00F84380" w:rsidP="00F84380">
      <w:pPr>
        <w:pStyle w:val="a5"/>
        <w:spacing w:after="120" w:line="240" w:lineRule="auto"/>
        <w:rPr>
          <w:sz w:val="24"/>
          <w:szCs w:val="22"/>
          <w:lang w:val="en-US"/>
        </w:rPr>
      </w:pPr>
      <w:r w:rsidRPr="0017697F">
        <w:rPr>
          <w:sz w:val="24"/>
          <w:szCs w:val="22"/>
          <w:lang w:val="en-US"/>
        </w:rPr>
        <w:t>Nervous system disorders: frequent - head ache.</w:t>
      </w:r>
    </w:p>
    <w:p w14:paraId="1769E030" w14:textId="79A50ABC" w:rsidR="00F84380" w:rsidRDefault="00F84380" w:rsidP="00F84380">
      <w:pPr>
        <w:pStyle w:val="1"/>
        <w:spacing w:after="120" w:line="240" w:lineRule="auto"/>
        <w:jc w:val="both"/>
        <w:rPr>
          <w:sz w:val="24"/>
          <w:szCs w:val="22"/>
          <w:lang w:val="en-US"/>
        </w:rPr>
      </w:pPr>
      <w:r w:rsidRPr="0017697F">
        <w:rPr>
          <w:sz w:val="24"/>
          <w:szCs w:val="22"/>
          <w:lang w:val="en-US"/>
        </w:rPr>
        <w:t>Respiratory, thoracic and mediastinum-related disorders: frequent - runny nose, throat hyperemia, infrequent - sore throat.</w:t>
      </w:r>
    </w:p>
    <w:p w14:paraId="728F90B7" w14:textId="77777777" w:rsidR="00F84380" w:rsidRPr="0017697F" w:rsidRDefault="00F84380" w:rsidP="00F84380">
      <w:pPr>
        <w:pStyle w:val="a5"/>
        <w:spacing w:after="120" w:line="240" w:lineRule="auto"/>
        <w:rPr>
          <w:sz w:val="24"/>
          <w:szCs w:val="22"/>
          <w:lang w:val="en-US"/>
        </w:rPr>
      </w:pPr>
      <w:r w:rsidRPr="0017697F">
        <w:rPr>
          <w:sz w:val="24"/>
          <w:szCs w:val="22"/>
          <w:lang w:val="en-US"/>
        </w:rPr>
        <w:t>Musculoskeletal and connective tissue disorders: infrequent - myalgia, arthralgia.</w:t>
      </w:r>
    </w:p>
    <w:p w14:paraId="08AFA323" w14:textId="77777777" w:rsidR="00F84380" w:rsidRPr="0017697F" w:rsidRDefault="00F84380" w:rsidP="00F84380">
      <w:pPr>
        <w:pStyle w:val="a5"/>
        <w:spacing w:after="120" w:line="240" w:lineRule="auto"/>
        <w:rPr>
          <w:sz w:val="24"/>
          <w:szCs w:val="22"/>
          <w:lang w:val="en-US"/>
        </w:rPr>
      </w:pPr>
      <w:r w:rsidRPr="0017697F">
        <w:rPr>
          <w:sz w:val="24"/>
          <w:szCs w:val="22"/>
          <w:lang w:val="en-US"/>
        </w:rPr>
        <w:t>General disorders and administration site conditions:</w:t>
      </w:r>
    </w:p>
    <w:p w14:paraId="5512237F" w14:textId="77777777" w:rsidR="00F84380" w:rsidRPr="0017697F" w:rsidRDefault="00F84380" w:rsidP="00F84380">
      <w:pPr>
        <w:pStyle w:val="a5"/>
        <w:spacing w:after="120" w:line="240" w:lineRule="auto"/>
        <w:rPr>
          <w:sz w:val="24"/>
          <w:szCs w:val="22"/>
          <w:lang w:val="en-US"/>
        </w:rPr>
      </w:pPr>
      <w:r w:rsidRPr="0017697F">
        <w:rPr>
          <w:sz w:val="24"/>
          <w:szCs w:val="22"/>
          <w:lang w:val="en-US"/>
        </w:rPr>
        <w:t>- general disorders: frequent - malaise;</w:t>
      </w:r>
    </w:p>
    <w:p w14:paraId="33E8984D" w14:textId="77777777" w:rsidR="00F84380" w:rsidRPr="0017697F" w:rsidRDefault="00F84380" w:rsidP="00F84380">
      <w:pPr>
        <w:pStyle w:val="a5"/>
        <w:spacing w:after="120" w:line="240" w:lineRule="auto"/>
        <w:rPr>
          <w:sz w:val="24"/>
          <w:szCs w:val="22"/>
          <w:lang w:val="en-US"/>
        </w:rPr>
      </w:pPr>
      <w:r w:rsidRPr="0017697F">
        <w:rPr>
          <w:sz w:val="24"/>
          <w:szCs w:val="22"/>
          <w:lang w:val="en-US"/>
        </w:rPr>
        <w:t>- administration site conditions: very frequent - pain, redness, formation of indurations (infiltration) and swelling at administration site, frequent - itch at administration site.</w:t>
      </w:r>
    </w:p>
    <w:p w14:paraId="7D27A1A7" w14:textId="77777777" w:rsidR="00F84380" w:rsidRPr="0017697F" w:rsidRDefault="00F84380" w:rsidP="00F84380">
      <w:pPr>
        <w:pStyle w:val="a5"/>
        <w:spacing w:after="120" w:line="240" w:lineRule="auto"/>
        <w:rPr>
          <w:sz w:val="24"/>
          <w:szCs w:val="22"/>
          <w:lang w:val="en-US"/>
        </w:rPr>
      </w:pPr>
      <w:r w:rsidRPr="0017697F">
        <w:rPr>
          <w:sz w:val="24"/>
          <w:szCs w:val="22"/>
          <w:lang w:val="en-US"/>
        </w:rPr>
        <w:t>Investigations: infrequent - increased body temperature.</w:t>
      </w:r>
    </w:p>
    <w:p w14:paraId="74718225" w14:textId="77777777" w:rsidR="00F84380" w:rsidRPr="0017697F" w:rsidRDefault="00F84380" w:rsidP="00F84380">
      <w:pPr>
        <w:pStyle w:val="a5"/>
        <w:spacing w:after="120" w:line="240" w:lineRule="auto"/>
        <w:rPr>
          <w:sz w:val="24"/>
          <w:szCs w:val="22"/>
          <w:lang w:val="en-US"/>
        </w:rPr>
      </w:pPr>
      <w:r w:rsidRPr="0017697F">
        <w:rPr>
          <w:sz w:val="24"/>
          <w:szCs w:val="22"/>
          <w:lang w:val="en-US"/>
        </w:rPr>
        <w:t>Most reactions are generally resolved spontaneously within 2-3 days.</w:t>
      </w:r>
    </w:p>
    <w:p w14:paraId="419AB6A9" w14:textId="77777777" w:rsidR="00F84380" w:rsidRPr="0017697F" w:rsidRDefault="00F84380" w:rsidP="00F84380">
      <w:pPr>
        <w:pStyle w:val="a5"/>
        <w:spacing w:after="120" w:line="240" w:lineRule="auto"/>
        <w:rPr>
          <w:sz w:val="24"/>
          <w:szCs w:val="22"/>
          <w:lang w:val="en-US"/>
        </w:rPr>
      </w:pPr>
      <w:r w:rsidRPr="0017697F">
        <w:rPr>
          <w:sz w:val="24"/>
          <w:szCs w:val="22"/>
          <w:lang w:val="en-US"/>
        </w:rPr>
        <w:t>Although there are no clinical findings, it is impossible to eliminate the possibility of the development of neurological disorders and allergic reactions (including immediate reactions, to chicken protein and other vaccinal components) characteristic for influenza vaccines.</w:t>
      </w:r>
    </w:p>
    <w:p w14:paraId="4B99CC40" w14:textId="675E368D" w:rsidR="00F84380" w:rsidRPr="0017697F" w:rsidRDefault="00F84380" w:rsidP="00F84380">
      <w:pPr>
        <w:pStyle w:val="1"/>
        <w:spacing w:after="120" w:line="240" w:lineRule="auto"/>
        <w:jc w:val="both"/>
        <w:rPr>
          <w:sz w:val="24"/>
          <w:szCs w:val="22"/>
          <w:lang w:val="en-US"/>
        </w:rPr>
      </w:pPr>
      <w:r w:rsidRPr="0017697F">
        <w:rPr>
          <w:sz w:val="24"/>
          <w:szCs w:val="22"/>
          <w:lang w:val="en-US"/>
        </w:rPr>
        <w:t>Patient should be informed that  it is necessary to report his/her physician on any apparent or not specified in this instruction adverse events.</w:t>
      </w:r>
    </w:p>
    <w:p w14:paraId="557799B7" w14:textId="77777777" w:rsidR="00890DFA" w:rsidRPr="0017697F" w:rsidRDefault="004C6CDF" w:rsidP="0042069D">
      <w:pPr>
        <w:pStyle w:val="1"/>
        <w:spacing w:after="120" w:line="240" w:lineRule="auto"/>
        <w:jc w:val="both"/>
        <w:rPr>
          <w:sz w:val="24"/>
          <w:szCs w:val="22"/>
          <w:lang w:val="en-US"/>
        </w:rPr>
      </w:pPr>
      <w:r w:rsidRPr="0017697F">
        <w:rPr>
          <w:b/>
          <w:bCs/>
          <w:sz w:val="24"/>
          <w:szCs w:val="22"/>
          <w:lang w:val="en-US"/>
        </w:rPr>
        <w:t>Overdosage</w:t>
      </w:r>
    </w:p>
    <w:p w14:paraId="6850D745"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No case of overdoses registered.</w:t>
      </w:r>
    </w:p>
    <w:p w14:paraId="005F7173" w14:textId="77777777" w:rsidR="00890DFA" w:rsidRPr="0017697F" w:rsidRDefault="004C6CDF" w:rsidP="0042069D">
      <w:pPr>
        <w:pStyle w:val="1"/>
        <w:spacing w:after="120" w:line="240" w:lineRule="auto"/>
        <w:jc w:val="both"/>
        <w:rPr>
          <w:sz w:val="24"/>
          <w:szCs w:val="22"/>
          <w:lang w:val="en-US"/>
        </w:rPr>
      </w:pPr>
      <w:r w:rsidRPr="0017697F">
        <w:rPr>
          <w:b/>
          <w:bCs/>
          <w:sz w:val="24"/>
          <w:szCs w:val="22"/>
          <w:lang w:val="en-US"/>
        </w:rPr>
        <w:t>Interactions</w:t>
      </w:r>
    </w:p>
    <w:p w14:paraId="688FF429"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Grippol® Quadrivalent vaccine against influenza quadrivalent inactivated subunit adjuvant  may be administered concomitantly with inactivated and live vaccines according to National Immunization Schedule (excluding BCG and BCG-M) and inactivated vaccines from Immunization Schedule by epidemic indications (excluding antirabic vaccines). However contraindications to each of the used vaccine should be taken into account; the medicinal products should be administered in different parts of the body using different syringes.</w:t>
      </w:r>
    </w:p>
    <w:p w14:paraId="7596A940" w14:textId="27E1C275" w:rsidR="00890DFA" w:rsidRPr="0017697F" w:rsidRDefault="004C6CDF" w:rsidP="0042069D">
      <w:pPr>
        <w:pStyle w:val="1"/>
        <w:spacing w:after="120" w:line="240" w:lineRule="auto"/>
        <w:jc w:val="both"/>
        <w:rPr>
          <w:sz w:val="24"/>
          <w:szCs w:val="22"/>
          <w:lang w:val="en-US"/>
        </w:rPr>
      </w:pPr>
      <w:r w:rsidRPr="0017697F">
        <w:rPr>
          <w:sz w:val="24"/>
          <w:szCs w:val="22"/>
          <w:lang w:val="en-US"/>
        </w:rPr>
        <w:t xml:space="preserve">The vaccine should be administered on basis therapy, available in vaccinated disease. The immunization of patients, </w:t>
      </w:r>
      <w:r w:rsidR="0017697F" w:rsidRPr="0017697F">
        <w:rPr>
          <w:sz w:val="24"/>
          <w:szCs w:val="22"/>
          <w:lang w:val="en-US"/>
        </w:rPr>
        <w:t>receiving</w:t>
      </w:r>
      <w:r w:rsidRPr="0017697F">
        <w:rPr>
          <w:sz w:val="24"/>
          <w:szCs w:val="22"/>
          <w:lang w:val="en-US"/>
        </w:rPr>
        <w:t xml:space="preserve"> </w:t>
      </w:r>
      <w:r w:rsidR="0017697F" w:rsidRPr="0017697F">
        <w:rPr>
          <w:sz w:val="24"/>
          <w:szCs w:val="22"/>
          <w:lang w:val="en-US"/>
        </w:rPr>
        <w:t>immunosuppressive</w:t>
      </w:r>
      <w:r w:rsidRPr="0017697F">
        <w:rPr>
          <w:sz w:val="24"/>
          <w:szCs w:val="22"/>
          <w:lang w:val="en-US"/>
        </w:rPr>
        <w:t xml:space="preserve"> therapy (glucocorticosteroids, cytostatic preparations, radiotherapy) may be less effective. </w:t>
      </w:r>
    </w:p>
    <w:p w14:paraId="2FE7FB1B" w14:textId="77777777" w:rsidR="00890DFA" w:rsidRPr="0017697F" w:rsidRDefault="004C6CDF" w:rsidP="0042069D">
      <w:pPr>
        <w:pStyle w:val="1"/>
        <w:spacing w:after="120" w:line="240" w:lineRule="auto"/>
        <w:jc w:val="both"/>
        <w:rPr>
          <w:sz w:val="24"/>
          <w:szCs w:val="22"/>
          <w:lang w:val="en-US"/>
        </w:rPr>
      </w:pPr>
      <w:r w:rsidRPr="0017697F">
        <w:rPr>
          <w:b/>
          <w:bCs/>
          <w:sz w:val="24"/>
          <w:szCs w:val="22"/>
          <w:lang w:val="en-US"/>
        </w:rPr>
        <w:t>Special precautions</w:t>
      </w:r>
    </w:p>
    <w:p w14:paraId="5A092C20" w14:textId="77777777" w:rsidR="0042069D" w:rsidRPr="0017697F" w:rsidRDefault="004C6CDF" w:rsidP="0042069D">
      <w:pPr>
        <w:pStyle w:val="1"/>
        <w:spacing w:after="120" w:line="240" w:lineRule="auto"/>
        <w:jc w:val="both"/>
        <w:rPr>
          <w:sz w:val="24"/>
          <w:szCs w:val="22"/>
          <w:lang w:val="en-US"/>
        </w:rPr>
      </w:pPr>
      <w:r w:rsidRPr="0017697F">
        <w:rPr>
          <w:sz w:val="24"/>
          <w:szCs w:val="22"/>
          <w:lang w:val="en-US"/>
        </w:rPr>
        <w:t xml:space="preserve">On day of vaccination the individuals being vaccinated should be examined by a physician (physician assistant) with compulsory thermometry. The vaccination is not performed at temperature over 37.0 °C </w:t>
      </w:r>
    </w:p>
    <w:p w14:paraId="15F6D5CB" w14:textId="4DCD71E9" w:rsidR="00890DFA" w:rsidRPr="0017697F" w:rsidRDefault="004C6CDF" w:rsidP="0042069D">
      <w:pPr>
        <w:pStyle w:val="1"/>
        <w:spacing w:after="120" w:line="240" w:lineRule="auto"/>
        <w:jc w:val="both"/>
        <w:rPr>
          <w:sz w:val="24"/>
          <w:szCs w:val="22"/>
          <w:lang w:val="en-US"/>
        </w:rPr>
      </w:pPr>
      <w:r w:rsidRPr="0017697F">
        <w:rPr>
          <w:sz w:val="24"/>
          <w:szCs w:val="22"/>
          <w:lang w:val="en-US"/>
        </w:rPr>
        <w:t xml:space="preserve">The medicinal product in syringes with disturbed integrity and </w:t>
      </w:r>
      <w:r w:rsidR="0017697F" w:rsidRPr="0017697F">
        <w:rPr>
          <w:sz w:val="24"/>
          <w:szCs w:val="22"/>
          <w:lang w:val="en-US"/>
        </w:rPr>
        <w:t>labeling</w:t>
      </w:r>
      <w:r w:rsidRPr="0017697F">
        <w:rPr>
          <w:sz w:val="24"/>
          <w:szCs w:val="22"/>
          <w:lang w:val="en-US"/>
        </w:rPr>
        <w:t xml:space="preserve">, with changed physical </w:t>
      </w:r>
      <w:r w:rsidRPr="0017697F">
        <w:rPr>
          <w:sz w:val="24"/>
          <w:szCs w:val="22"/>
          <w:lang w:val="en-US"/>
        </w:rPr>
        <w:lastRenderedPageBreak/>
        <w:t xml:space="preserve">properties (color, clarity), with expired date, impaired </w:t>
      </w:r>
      <w:r w:rsidR="0017697F" w:rsidRPr="0017697F">
        <w:rPr>
          <w:sz w:val="24"/>
          <w:szCs w:val="22"/>
          <w:lang w:val="en-US"/>
        </w:rPr>
        <w:t>requirements</w:t>
      </w:r>
      <w:r w:rsidRPr="0017697F">
        <w:rPr>
          <w:sz w:val="24"/>
          <w:szCs w:val="22"/>
          <w:lang w:val="en-US"/>
        </w:rPr>
        <w:t xml:space="preserve"> for storage is not suitable for use.</w:t>
      </w:r>
    </w:p>
    <w:p w14:paraId="3974901B" w14:textId="0582158D" w:rsidR="00890DFA" w:rsidRPr="0017697F" w:rsidRDefault="004C6CDF" w:rsidP="0042069D">
      <w:pPr>
        <w:pStyle w:val="1"/>
        <w:spacing w:after="120" w:line="240" w:lineRule="auto"/>
        <w:jc w:val="both"/>
        <w:rPr>
          <w:sz w:val="24"/>
          <w:szCs w:val="22"/>
          <w:lang w:val="en-US"/>
        </w:rPr>
      </w:pPr>
      <w:r w:rsidRPr="0017697F">
        <w:rPr>
          <w:sz w:val="24"/>
          <w:szCs w:val="22"/>
          <w:lang w:val="en-US"/>
        </w:rPr>
        <w:t xml:space="preserve">The incompliance of </w:t>
      </w:r>
      <w:r w:rsidR="0017697F" w:rsidRPr="0017697F">
        <w:rPr>
          <w:sz w:val="24"/>
          <w:szCs w:val="22"/>
          <w:lang w:val="en-US"/>
        </w:rPr>
        <w:t>technique</w:t>
      </w:r>
      <w:r w:rsidRPr="0017697F">
        <w:rPr>
          <w:sz w:val="24"/>
          <w:szCs w:val="22"/>
          <w:lang w:val="en-US"/>
        </w:rPr>
        <w:t xml:space="preserve"> of collection of doses out of multidose vial may reflect in properties of the medicinal product. Therefore the manufacture is responsible for its quality for 24 hours after the first procedure of collection only at storage condition in fridge in accordance with manufacturer's guidelines.</w:t>
      </w:r>
    </w:p>
    <w:p w14:paraId="47C940F6"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Multidose vials Grippol® Quadrivalent contain small quantity of thiomersal as a preservative, which may be a reason of allergic reaction.</w:t>
      </w:r>
    </w:p>
    <w:p w14:paraId="0ECDFF74" w14:textId="77777777" w:rsidR="00890DFA" w:rsidRPr="0017697F" w:rsidRDefault="004C6CDF" w:rsidP="0042069D">
      <w:pPr>
        <w:pStyle w:val="1"/>
        <w:spacing w:after="120" w:line="240" w:lineRule="auto"/>
        <w:jc w:val="both"/>
        <w:rPr>
          <w:sz w:val="24"/>
          <w:szCs w:val="22"/>
          <w:lang w:val="en-US"/>
        </w:rPr>
      </w:pPr>
      <w:r w:rsidRPr="0017697F">
        <w:rPr>
          <w:b/>
          <w:bCs/>
          <w:sz w:val="24"/>
          <w:szCs w:val="22"/>
          <w:lang w:val="en-US"/>
        </w:rPr>
        <w:t>Effect on ability to drive and use machines</w:t>
      </w:r>
    </w:p>
    <w:p w14:paraId="0FCDAFB4"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Grippol® Quadrivalent vaccine against influenza quadrivalent inactivated subunit adjuvant causes no effect of ability to drive and use machines.</w:t>
      </w:r>
    </w:p>
    <w:p w14:paraId="04DFB4D1" w14:textId="77777777" w:rsidR="00F84380" w:rsidRPr="0017697F" w:rsidRDefault="00F84380" w:rsidP="00F84380">
      <w:pPr>
        <w:pStyle w:val="a5"/>
        <w:spacing w:after="120" w:line="240" w:lineRule="auto"/>
        <w:rPr>
          <w:sz w:val="24"/>
          <w:szCs w:val="22"/>
          <w:lang w:val="en-US"/>
        </w:rPr>
      </w:pPr>
      <w:r w:rsidRPr="0017697F">
        <w:rPr>
          <w:b/>
          <w:bCs/>
          <w:sz w:val="24"/>
          <w:szCs w:val="22"/>
          <w:lang w:val="en-US"/>
        </w:rPr>
        <w:t>Presentation</w:t>
      </w:r>
    </w:p>
    <w:p w14:paraId="15285732" w14:textId="77777777" w:rsidR="00F84380" w:rsidRPr="0017697F" w:rsidRDefault="00F84380" w:rsidP="00F84380">
      <w:pPr>
        <w:pStyle w:val="a5"/>
        <w:spacing w:after="120" w:line="240" w:lineRule="auto"/>
        <w:rPr>
          <w:sz w:val="24"/>
          <w:szCs w:val="22"/>
          <w:lang w:val="en-US"/>
        </w:rPr>
      </w:pPr>
      <w:r w:rsidRPr="0017697F">
        <w:rPr>
          <w:sz w:val="24"/>
          <w:szCs w:val="22"/>
          <w:lang w:val="en-US"/>
        </w:rPr>
        <w:t>Solution for intramuscular and subcutaneous injection.</w:t>
      </w:r>
    </w:p>
    <w:p w14:paraId="47A5E584" w14:textId="77777777" w:rsidR="00F84380" w:rsidRPr="0017697F" w:rsidRDefault="00F84380" w:rsidP="00F84380">
      <w:pPr>
        <w:pStyle w:val="a5"/>
        <w:spacing w:after="120" w:line="240" w:lineRule="auto"/>
        <w:rPr>
          <w:sz w:val="24"/>
          <w:szCs w:val="22"/>
          <w:lang w:val="en-US"/>
        </w:rPr>
      </w:pPr>
      <w:r w:rsidRPr="0017697F">
        <w:rPr>
          <w:sz w:val="24"/>
          <w:szCs w:val="22"/>
          <w:lang w:val="en-US"/>
        </w:rPr>
        <w:t>0.5 ml (1 dose) into glass disposable syringes.</w:t>
      </w:r>
    </w:p>
    <w:p w14:paraId="4751DCF5" w14:textId="30FFE02E" w:rsidR="00F84380" w:rsidRDefault="00F84380" w:rsidP="00F84380">
      <w:pPr>
        <w:pStyle w:val="1"/>
        <w:spacing w:after="120" w:line="240" w:lineRule="auto"/>
        <w:jc w:val="both"/>
        <w:rPr>
          <w:sz w:val="24"/>
          <w:szCs w:val="22"/>
          <w:lang w:val="en-US"/>
        </w:rPr>
      </w:pPr>
      <w:r w:rsidRPr="0017697F">
        <w:rPr>
          <w:sz w:val="24"/>
          <w:szCs w:val="22"/>
          <w:lang w:val="en-US"/>
        </w:rPr>
        <w:t>5.0 ml (10 doses) with preservative into glass vials, sealed with rubber stoppers and capped with aluminum crimps.</w:t>
      </w:r>
    </w:p>
    <w:p w14:paraId="39717327" w14:textId="77777777" w:rsidR="00F84380" w:rsidRPr="0017697F" w:rsidRDefault="00F84380" w:rsidP="00F84380">
      <w:pPr>
        <w:pStyle w:val="a5"/>
        <w:tabs>
          <w:tab w:val="left" w:pos="1602"/>
          <w:tab w:val="left" w:pos="3089"/>
          <w:tab w:val="left" w:pos="3841"/>
        </w:tabs>
        <w:spacing w:after="120" w:line="240" w:lineRule="auto"/>
        <w:rPr>
          <w:sz w:val="24"/>
          <w:szCs w:val="22"/>
          <w:lang w:val="en-US"/>
        </w:rPr>
      </w:pPr>
      <w:r w:rsidRPr="0017697F">
        <w:rPr>
          <w:sz w:val="24"/>
          <w:szCs w:val="22"/>
          <w:lang w:val="en-US"/>
        </w:rPr>
        <w:t>1, 5 or 10 syringes in PVC blister pack, covered with aluminium foil with polymer coating.</w:t>
      </w:r>
    </w:p>
    <w:p w14:paraId="505B6E71" w14:textId="77777777" w:rsidR="00F84380" w:rsidRPr="0017697F" w:rsidRDefault="00F84380" w:rsidP="00F84380">
      <w:pPr>
        <w:pStyle w:val="a5"/>
        <w:spacing w:after="120" w:line="240" w:lineRule="auto"/>
        <w:rPr>
          <w:sz w:val="24"/>
          <w:szCs w:val="22"/>
          <w:lang w:val="en-US"/>
        </w:rPr>
      </w:pPr>
      <w:r w:rsidRPr="0017697F">
        <w:rPr>
          <w:sz w:val="24"/>
          <w:szCs w:val="22"/>
          <w:lang w:val="en-US"/>
        </w:rPr>
        <w:t>1 (containing 1 or 5 syringes or 10 syringes) or 2 (containing 5 syringes) blister packs in carton box together with patient information leaflet.</w:t>
      </w:r>
    </w:p>
    <w:p w14:paraId="5EA8C5A2" w14:textId="77777777" w:rsidR="00F84380" w:rsidRPr="0017697F" w:rsidRDefault="00F84380" w:rsidP="00F84380">
      <w:pPr>
        <w:pStyle w:val="a5"/>
        <w:spacing w:after="120" w:line="240" w:lineRule="auto"/>
        <w:rPr>
          <w:sz w:val="24"/>
          <w:szCs w:val="22"/>
          <w:lang w:val="en-US"/>
        </w:rPr>
      </w:pPr>
      <w:r w:rsidRPr="0017697F">
        <w:rPr>
          <w:sz w:val="24"/>
          <w:szCs w:val="22"/>
          <w:lang w:val="en-US"/>
        </w:rPr>
        <w:t>1 vial in carton box together with patient information leaflet.</w:t>
      </w:r>
    </w:p>
    <w:p w14:paraId="63480A18" w14:textId="0BB2B6DD" w:rsidR="00F84380" w:rsidRPr="0017697F" w:rsidRDefault="00F84380" w:rsidP="00F84380">
      <w:pPr>
        <w:pStyle w:val="1"/>
        <w:spacing w:after="120" w:line="240" w:lineRule="auto"/>
        <w:jc w:val="both"/>
        <w:rPr>
          <w:sz w:val="24"/>
          <w:szCs w:val="22"/>
          <w:lang w:val="en-US"/>
        </w:rPr>
      </w:pPr>
      <w:r w:rsidRPr="0017697F">
        <w:rPr>
          <w:sz w:val="24"/>
          <w:szCs w:val="22"/>
          <w:lang w:val="en-US"/>
        </w:rPr>
        <w:t xml:space="preserve">10, 20 or 50 vials in carton box with carton insert together with patient information leaflet.  </w:t>
      </w:r>
    </w:p>
    <w:p w14:paraId="6FF05DEC" w14:textId="77777777" w:rsidR="00890DFA" w:rsidRPr="0017697F" w:rsidRDefault="004C6CDF" w:rsidP="0042069D">
      <w:pPr>
        <w:pStyle w:val="1"/>
        <w:spacing w:after="120" w:line="240" w:lineRule="auto"/>
        <w:jc w:val="both"/>
        <w:rPr>
          <w:sz w:val="24"/>
          <w:szCs w:val="22"/>
          <w:lang w:val="en-US"/>
        </w:rPr>
      </w:pPr>
      <w:r w:rsidRPr="0017697F">
        <w:rPr>
          <w:b/>
          <w:bCs/>
          <w:sz w:val="24"/>
          <w:szCs w:val="22"/>
          <w:lang w:val="en-US"/>
        </w:rPr>
        <w:t>Storage conditions</w:t>
      </w:r>
    </w:p>
    <w:p w14:paraId="73501D1E" w14:textId="04BAF820" w:rsidR="00890DFA" w:rsidRPr="0017697F" w:rsidRDefault="004C6CDF" w:rsidP="0042069D">
      <w:pPr>
        <w:pStyle w:val="1"/>
        <w:spacing w:after="120" w:line="240" w:lineRule="auto"/>
        <w:jc w:val="both"/>
        <w:rPr>
          <w:sz w:val="24"/>
          <w:szCs w:val="22"/>
          <w:lang w:val="en-US"/>
        </w:rPr>
      </w:pPr>
      <w:r w:rsidRPr="0017697F">
        <w:rPr>
          <w:sz w:val="24"/>
          <w:szCs w:val="22"/>
          <w:lang w:val="en-US"/>
        </w:rPr>
        <w:t xml:space="preserve">Protected from light at 2 °С to 8 °С. Do not freeze. </w:t>
      </w:r>
      <w:r w:rsidR="0017697F" w:rsidRPr="0017697F">
        <w:rPr>
          <w:sz w:val="24"/>
          <w:szCs w:val="22"/>
          <w:lang w:val="en-US"/>
        </w:rPr>
        <w:t>Frozen</w:t>
      </w:r>
      <w:r w:rsidRPr="0017697F">
        <w:rPr>
          <w:sz w:val="24"/>
          <w:szCs w:val="22"/>
          <w:lang w:val="en-US"/>
        </w:rPr>
        <w:t xml:space="preserve"> preparation cannot be used.</w:t>
      </w:r>
    </w:p>
    <w:p w14:paraId="637A07CD"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Keep out of the reach of children.</w:t>
      </w:r>
    </w:p>
    <w:p w14:paraId="5B8A1FB5" w14:textId="77777777" w:rsidR="00890DFA" w:rsidRPr="0017697F" w:rsidRDefault="004C6CDF" w:rsidP="0042069D">
      <w:pPr>
        <w:pStyle w:val="1"/>
        <w:spacing w:after="120" w:line="240" w:lineRule="auto"/>
        <w:jc w:val="both"/>
        <w:rPr>
          <w:sz w:val="24"/>
          <w:szCs w:val="22"/>
          <w:lang w:val="en-US"/>
        </w:rPr>
      </w:pPr>
      <w:r w:rsidRPr="0017697F">
        <w:rPr>
          <w:b/>
          <w:bCs/>
          <w:sz w:val="24"/>
          <w:szCs w:val="22"/>
          <w:lang w:val="en-US"/>
        </w:rPr>
        <w:t>Transportation conditions</w:t>
      </w:r>
    </w:p>
    <w:p w14:paraId="5CEF5398" w14:textId="77777777" w:rsidR="00890DFA" w:rsidRPr="0017697F" w:rsidRDefault="004C6CDF" w:rsidP="0042069D">
      <w:pPr>
        <w:pStyle w:val="1"/>
        <w:spacing w:after="120" w:line="240" w:lineRule="auto"/>
        <w:jc w:val="both"/>
        <w:rPr>
          <w:sz w:val="24"/>
          <w:szCs w:val="22"/>
          <w:lang w:val="en-US"/>
        </w:rPr>
      </w:pPr>
      <w:r w:rsidRPr="0017697F">
        <w:rPr>
          <w:sz w:val="24"/>
          <w:szCs w:val="22"/>
          <w:lang w:val="en-US"/>
        </w:rPr>
        <w:t>Protected from light at 2 °С to 8 °С. Do not freeze. Transportation at temperature below 25 °С for maximum 24 hours is allowed.</w:t>
      </w:r>
    </w:p>
    <w:p w14:paraId="6466DD30" w14:textId="77777777" w:rsidR="00890DFA" w:rsidRPr="0017697F" w:rsidRDefault="004C6CDF" w:rsidP="0042069D">
      <w:pPr>
        <w:pStyle w:val="1"/>
        <w:spacing w:after="120" w:line="240" w:lineRule="auto"/>
        <w:jc w:val="both"/>
        <w:rPr>
          <w:sz w:val="24"/>
          <w:szCs w:val="22"/>
          <w:lang w:val="en-US"/>
        </w:rPr>
      </w:pPr>
      <w:r w:rsidRPr="0017697F">
        <w:rPr>
          <w:b/>
          <w:bCs/>
          <w:sz w:val="24"/>
          <w:szCs w:val="22"/>
          <w:lang w:val="en-US"/>
        </w:rPr>
        <w:t>Shelf life</w:t>
      </w:r>
    </w:p>
    <w:p w14:paraId="18DDD955" w14:textId="77777777" w:rsidR="0042069D" w:rsidRPr="0017697F" w:rsidRDefault="004C6CDF" w:rsidP="0042069D">
      <w:pPr>
        <w:pStyle w:val="1"/>
        <w:spacing w:after="120" w:line="240" w:lineRule="auto"/>
        <w:jc w:val="both"/>
        <w:rPr>
          <w:sz w:val="24"/>
          <w:szCs w:val="22"/>
          <w:lang w:val="en-US"/>
        </w:rPr>
      </w:pPr>
      <w:r w:rsidRPr="0017697F">
        <w:rPr>
          <w:sz w:val="24"/>
          <w:szCs w:val="22"/>
          <w:lang w:val="en-US"/>
        </w:rPr>
        <w:t>1 year. Do not use after expiry date.</w:t>
      </w:r>
    </w:p>
    <w:p w14:paraId="163453D7" w14:textId="77777777" w:rsidR="00F84380" w:rsidRPr="0017697F" w:rsidRDefault="00F84380" w:rsidP="00F84380">
      <w:pPr>
        <w:pStyle w:val="a5"/>
        <w:spacing w:after="120" w:line="240" w:lineRule="auto"/>
        <w:rPr>
          <w:sz w:val="24"/>
          <w:szCs w:val="22"/>
          <w:lang w:val="en-US"/>
        </w:rPr>
      </w:pPr>
      <w:r w:rsidRPr="0017697F">
        <w:rPr>
          <w:b/>
          <w:bCs/>
          <w:sz w:val="24"/>
          <w:szCs w:val="22"/>
          <w:lang w:val="en-US"/>
        </w:rPr>
        <w:t>Purchasing terms</w:t>
      </w:r>
    </w:p>
    <w:p w14:paraId="70812157" w14:textId="77777777" w:rsidR="00F84380" w:rsidRPr="0017697F" w:rsidRDefault="00F84380" w:rsidP="00F84380">
      <w:pPr>
        <w:pStyle w:val="a5"/>
        <w:spacing w:after="120" w:line="240" w:lineRule="auto"/>
        <w:rPr>
          <w:sz w:val="24"/>
          <w:szCs w:val="22"/>
          <w:lang w:val="en-US"/>
        </w:rPr>
      </w:pPr>
      <w:r w:rsidRPr="0017697F">
        <w:rPr>
          <w:sz w:val="24"/>
          <w:szCs w:val="22"/>
          <w:lang w:val="en-US"/>
        </w:rPr>
        <w:t>Package, containing 1 syringe, is available on prescription.</w:t>
      </w:r>
    </w:p>
    <w:p w14:paraId="6A841204" w14:textId="441C35D4" w:rsidR="00F84380" w:rsidRDefault="00F84380" w:rsidP="00F84380">
      <w:pPr>
        <w:pStyle w:val="1"/>
        <w:spacing w:after="120" w:line="240" w:lineRule="auto"/>
        <w:jc w:val="both"/>
        <w:rPr>
          <w:sz w:val="24"/>
          <w:szCs w:val="22"/>
          <w:lang w:val="en-US"/>
        </w:rPr>
      </w:pPr>
      <w:r w:rsidRPr="0017697F">
        <w:rPr>
          <w:sz w:val="24"/>
          <w:szCs w:val="22"/>
          <w:lang w:val="en-US"/>
        </w:rPr>
        <w:t>Package, containing 5 or 10 syringes, 1, 10, 20 or 50 vials is dispensed for healthcare centres.</w:t>
      </w:r>
    </w:p>
    <w:p w14:paraId="52226572" w14:textId="77777777" w:rsidR="00D51E55" w:rsidRPr="00F569EE" w:rsidRDefault="00D51E55" w:rsidP="00D51E55">
      <w:pPr>
        <w:tabs>
          <w:tab w:val="left" w:pos="9540"/>
        </w:tabs>
        <w:spacing w:before="120" w:line="360" w:lineRule="auto"/>
        <w:jc w:val="both"/>
        <w:rPr>
          <w:b/>
          <w:snapToGrid w:val="0"/>
          <w:lang w:val="en-GB"/>
        </w:rPr>
      </w:pPr>
      <w:r w:rsidRPr="00F569EE">
        <w:rPr>
          <w:b/>
          <w:snapToGrid w:val="0"/>
          <w:lang w:val="en-GB"/>
        </w:rPr>
        <w:t xml:space="preserve">Manufacturer / </w:t>
      </w:r>
      <w:r w:rsidRPr="00F569EE">
        <w:rPr>
          <w:b/>
          <w:snapToGrid w:val="0"/>
          <w:lang w:val="en-US"/>
        </w:rPr>
        <w:t>M</w:t>
      </w:r>
      <w:r w:rsidRPr="00F569EE">
        <w:rPr>
          <w:b/>
          <w:snapToGrid w:val="0"/>
          <w:lang w:val="en-GB"/>
        </w:rPr>
        <w:t>arketing authorisation holder</w:t>
      </w:r>
    </w:p>
    <w:p w14:paraId="750F6D44" w14:textId="77777777" w:rsidR="00890DFA" w:rsidRPr="00F569EE" w:rsidRDefault="004C6CDF" w:rsidP="0042069D">
      <w:pPr>
        <w:pStyle w:val="1"/>
        <w:spacing w:after="120" w:line="240" w:lineRule="auto"/>
        <w:jc w:val="both"/>
        <w:rPr>
          <w:sz w:val="24"/>
          <w:szCs w:val="22"/>
          <w:lang w:val="en-US"/>
        </w:rPr>
      </w:pPr>
      <w:r w:rsidRPr="00F569EE">
        <w:rPr>
          <w:sz w:val="24"/>
          <w:szCs w:val="22"/>
          <w:lang w:val="en-US"/>
        </w:rPr>
        <w:t>NPO Petrovax Pharm LLC</w:t>
      </w:r>
    </w:p>
    <w:p w14:paraId="06759F82" w14:textId="77777777" w:rsidR="00D51E55" w:rsidRPr="00F569EE" w:rsidRDefault="004C6CDF" w:rsidP="0042069D">
      <w:pPr>
        <w:pStyle w:val="1"/>
        <w:spacing w:after="120" w:line="240" w:lineRule="auto"/>
        <w:jc w:val="both"/>
        <w:rPr>
          <w:sz w:val="24"/>
          <w:szCs w:val="22"/>
          <w:lang w:val="en-US"/>
        </w:rPr>
      </w:pPr>
      <w:r w:rsidRPr="00F569EE">
        <w:rPr>
          <w:sz w:val="24"/>
          <w:szCs w:val="22"/>
          <w:lang w:val="en-US"/>
        </w:rPr>
        <w:t xml:space="preserve">Russia, 142143, Moscow Region, Podolsk, Pokrov village, Sosnovaya street, 1, </w:t>
      </w:r>
    </w:p>
    <w:p w14:paraId="4F6059E3" w14:textId="77777777" w:rsidR="00D51E55" w:rsidRPr="00F569EE" w:rsidRDefault="004C6CDF" w:rsidP="0042069D">
      <w:pPr>
        <w:pStyle w:val="1"/>
        <w:spacing w:after="120" w:line="240" w:lineRule="auto"/>
        <w:jc w:val="both"/>
        <w:rPr>
          <w:sz w:val="24"/>
          <w:szCs w:val="22"/>
          <w:lang w:val="en-US"/>
        </w:rPr>
      </w:pPr>
      <w:r w:rsidRPr="00F569EE">
        <w:rPr>
          <w:sz w:val="24"/>
          <w:szCs w:val="22"/>
          <w:lang w:val="en-US"/>
        </w:rPr>
        <w:t xml:space="preserve">tel./fax: </w:t>
      </w:r>
      <w:r w:rsidR="00D51E55" w:rsidRPr="00F569EE">
        <w:rPr>
          <w:sz w:val="24"/>
          <w:szCs w:val="22"/>
          <w:lang w:val="en-US"/>
        </w:rPr>
        <w:t xml:space="preserve">+7 </w:t>
      </w:r>
      <w:r w:rsidRPr="00F569EE">
        <w:rPr>
          <w:sz w:val="24"/>
          <w:szCs w:val="22"/>
          <w:lang w:val="en-US"/>
        </w:rPr>
        <w:t xml:space="preserve">(495) 926-21-07, </w:t>
      </w:r>
    </w:p>
    <w:p w14:paraId="6BDFB3F3" w14:textId="6C27D697" w:rsidR="00890DFA" w:rsidRPr="00F569EE" w:rsidRDefault="004C6CDF" w:rsidP="0042069D">
      <w:pPr>
        <w:pStyle w:val="1"/>
        <w:spacing w:after="120" w:line="240" w:lineRule="auto"/>
        <w:jc w:val="both"/>
        <w:rPr>
          <w:sz w:val="24"/>
          <w:szCs w:val="22"/>
          <w:lang w:val="en-US"/>
        </w:rPr>
      </w:pPr>
      <w:r w:rsidRPr="00F569EE">
        <w:rPr>
          <w:sz w:val="24"/>
          <w:szCs w:val="22"/>
          <w:lang w:val="en-US"/>
        </w:rPr>
        <w:t>e-mail: info@petrovax.ru;</w:t>
      </w:r>
    </w:p>
    <w:p w14:paraId="7086171E" w14:textId="148FA689" w:rsidR="00891612" w:rsidRPr="00F569EE" w:rsidRDefault="00D51E55" w:rsidP="00891612">
      <w:pPr>
        <w:pStyle w:val="a5"/>
        <w:spacing w:after="120" w:line="240" w:lineRule="auto"/>
        <w:rPr>
          <w:b/>
          <w:sz w:val="24"/>
          <w:szCs w:val="26"/>
          <w:lang w:val="en-US"/>
        </w:rPr>
      </w:pPr>
      <w:r w:rsidRPr="00F569EE">
        <w:rPr>
          <w:b/>
          <w:sz w:val="24"/>
          <w:szCs w:val="26"/>
          <w:lang w:val="en-US"/>
        </w:rPr>
        <w:t>Consumer complaints organization</w:t>
      </w:r>
    </w:p>
    <w:p w14:paraId="1361BC6D" w14:textId="77777777" w:rsidR="00F569EE" w:rsidRPr="00F569EE" w:rsidRDefault="00F569EE" w:rsidP="00F569EE">
      <w:pPr>
        <w:pStyle w:val="1"/>
        <w:spacing w:after="120" w:line="240" w:lineRule="auto"/>
        <w:jc w:val="both"/>
        <w:rPr>
          <w:sz w:val="24"/>
          <w:szCs w:val="22"/>
          <w:lang w:val="en-US"/>
        </w:rPr>
      </w:pPr>
      <w:r w:rsidRPr="00F569EE">
        <w:rPr>
          <w:sz w:val="24"/>
          <w:szCs w:val="22"/>
          <w:lang w:val="en-US"/>
        </w:rPr>
        <w:t>NPO Petrovax Pharm LLC</w:t>
      </w:r>
    </w:p>
    <w:p w14:paraId="5F29F907" w14:textId="77777777" w:rsidR="00F569EE" w:rsidRPr="00F569EE" w:rsidRDefault="00F569EE" w:rsidP="00F569EE">
      <w:pPr>
        <w:pStyle w:val="1"/>
        <w:spacing w:after="120" w:line="240" w:lineRule="auto"/>
        <w:jc w:val="both"/>
        <w:rPr>
          <w:sz w:val="24"/>
          <w:szCs w:val="22"/>
          <w:lang w:val="en-US"/>
        </w:rPr>
      </w:pPr>
      <w:r w:rsidRPr="00F569EE">
        <w:rPr>
          <w:sz w:val="24"/>
          <w:szCs w:val="22"/>
          <w:lang w:val="en-US"/>
        </w:rPr>
        <w:t xml:space="preserve">Russia, 142143, Moscow Region, Podolsk, Pokrov village, Sosnovaya street, 1, </w:t>
      </w:r>
    </w:p>
    <w:p w14:paraId="2A062C45" w14:textId="515251BD" w:rsidR="00F569EE" w:rsidRPr="00F569EE" w:rsidRDefault="00F569EE" w:rsidP="00891612">
      <w:pPr>
        <w:pStyle w:val="a5"/>
        <w:spacing w:after="120" w:line="240" w:lineRule="auto"/>
        <w:rPr>
          <w:sz w:val="24"/>
          <w:szCs w:val="26"/>
          <w:lang w:val="en-US"/>
        </w:rPr>
      </w:pPr>
      <w:r w:rsidRPr="00F569EE">
        <w:rPr>
          <w:sz w:val="24"/>
          <w:szCs w:val="26"/>
          <w:lang w:val="en-US"/>
        </w:rPr>
        <w:lastRenderedPageBreak/>
        <w:t xml:space="preserve">tel.: +7(495) 730-75-45, 8 800 234-44-80, </w:t>
      </w:r>
    </w:p>
    <w:p w14:paraId="5E169321" w14:textId="7F7FBD6F" w:rsidR="00F569EE" w:rsidRPr="00F569EE" w:rsidRDefault="00F569EE" w:rsidP="00891612">
      <w:pPr>
        <w:pStyle w:val="a5"/>
        <w:spacing w:after="120" w:line="240" w:lineRule="auto"/>
        <w:rPr>
          <w:sz w:val="24"/>
          <w:szCs w:val="26"/>
          <w:lang w:val="en-US"/>
        </w:rPr>
      </w:pPr>
      <w:r w:rsidRPr="00F569EE">
        <w:rPr>
          <w:sz w:val="24"/>
          <w:szCs w:val="26"/>
          <w:lang w:val="en-US"/>
        </w:rPr>
        <w:t xml:space="preserve">e-mail: </w:t>
      </w:r>
      <w:hyperlink r:id="rId6" w:history="1">
        <w:r w:rsidRPr="00F569EE">
          <w:rPr>
            <w:rStyle w:val="aa"/>
            <w:color w:val="auto"/>
            <w:sz w:val="24"/>
            <w:szCs w:val="26"/>
            <w:u w:val="none"/>
            <w:lang w:val="en-US"/>
          </w:rPr>
          <w:t>adr@petrovax.ru</w:t>
        </w:r>
      </w:hyperlink>
    </w:p>
    <w:p w14:paraId="6ED4FA84" w14:textId="77777777" w:rsidR="00F569EE" w:rsidRPr="00F569EE" w:rsidRDefault="00F569EE" w:rsidP="00891612">
      <w:pPr>
        <w:pStyle w:val="a5"/>
        <w:spacing w:after="120" w:line="240" w:lineRule="auto"/>
        <w:rPr>
          <w:sz w:val="24"/>
          <w:szCs w:val="26"/>
          <w:highlight w:val="yellow"/>
          <w:lang w:val="en-US"/>
        </w:rPr>
      </w:pPr>
    </w:p>
    <w:p w14:paraId="2823048D" w14:textId="1AF28713" w:rsidR="0042069D" w:rsidRPr="0017697F" w:rsidRDefault="00D51E55" w:rsidP="0042069D">
      <w:pPr>
        <w:spacing w:after="120"/>
        <w:jc w:val="both"/>
        <w:rPr>
          <w:lang w:val="en-US"/>
        </w:rPr>
      </w:pPr>
      <w:r w:rsidRPr="00D51E55">
        <w:rPr>
          <w:szCs w:val="26"/>
          <w:lang w:val="en-US"/>
        </w:rPr>
        <w:t>Send reclamations on medicinal product quality concerning physical properties, package and information about the cases of increased reactogenicity or cases of postvaccinal complications development with obligatory indication of batch number and date of manufacture and subsequent provision of medicinal documentation to the manufacturer NPO Petrovax Pharm, LLC and to the Federal Service for Surveillance in Healthcare (Roszdravnadzor).</w:t>
      </w:r>
    </w:p>
    <w:sectPr w:rsidR="0042069D" w:rsidRPr="0017697F" w:rsidSect="00891612">
      <w:headerReference w:type="default" r:id="rId7"/>
      <w:type w:val="continuous"/>
      <w:pgSz w:w="11909" w:h="16840"/>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3BB71" w14:textId="77777777" w:rsidR="00357D27" w:rsidRDefault="00357D27">
      <w:r>
        <w:separator/>
      </w:r>
    </w:p>
  </w:endnote>
  <w:endnote w:type="continuationSeparator" w:id="0">
    <w:p w14:paraId="15839E21" w14:textId="77777777" w:rsidR="00357D27" w:rsidRDefault="0035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D60A3" w14:textId="77777777" w:rsidR="00357D27" w:rsidRDefault="00357D27">
      <w:r>
        <w:separator/>
      </w:r>
    </w:p>
  </w:footnote>
  <w:footnote w:type="continuationSeparator" w:id="0">
    <w:p w14:paraId="0B135F38" w14:textId="77777777" w:rsidR="00357D27" w:rsidRDefault="0035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6B3E" w14:textId="60D004D1" w:rsidR="009C50DD" w:rsidRPr="00944EA4" w:rsidRDefault="004C6CDF" w:rsidP="009C50DD">
    <w:pPr>
      <w:pStyle w:val="a6"/>
      <w:jc w:val="right"/>
    </w:pPr>
    <w:r w:rsidRPr="009C50DD">
      <w:rPr>
        <w:lang w:val="en-US"/>
      </w:rPr>
      <w:t xml:space="preserve">С. </w:t>
    </w:r>
    <w:r>
      <w:fldChar w:fldCharType="begin"/>
    </w:r>
    <w:r>
      <w:rPr>
        <w:lang w:val="en-US"/>
      </w:rPr>
      <w:instrText>PAGE   \* MERGEFORMAT</w:instrText>
    </w:r>
    <w:r>
      <w:fldChar w:fldCharType="separate"/>
    </w:r>
    <w:r w:rsidR="00175ECC">
      <w:rPr>
        <w:noProof/>
        <w:lang w:val="en-US"/>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FA"/>
    <w:rsid w:val="00175ECC"/>
    <w:rsid w:val="0017697F"/>
    <w:rsid w:val="00357D27"/>
    <w:rsid w:val="0042069D"/>
    <w:rsid w:val="004C6CDF"/>
    <w:rsid w:val="005C2705"/>
    <w:rsid w:val="005E14F1"/>
    <w:rsid w:val="006C75B3"/>
    <w:rsid w:val="007E682E"/>
    <w:rsid w:val="00890DFA"/>
    <w:rsid w:val="00891612"/>
    <w:rsid w:val="00944EA4"/>
    <w:rsid w:val="009C50DD"/>
    <w:rsid w:val="00D51E55"/>
    <w:rsid w:val="00F569EE"/>
    <w:rsid w:val="00F8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E73F"/>
  <w15:docId w15:val="{4A0887A4-7442-4521-8630-7453809E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b w:val="0"/>
      <w:bCs w:val="0"/>
      <w:i w:val="0"/>
      <w:iCs w:val="0"/>
      <w:smallCaps w:val="0"/>
      <w:strike w:val="0"/>
      <w:sz w:val="26"/>
      <w:szCs w:val="26"/>
      <w:u w:val="none"/>
    </w:rPr>
  </w:style>
  <w:style w:type="character" w:customStyle="1" w:styleId="a3">
    <w:name w:val="Основной текст_"/>
    <w:basedOn w:val="a0"/>
    <w:link w:val="1"/>
    <w:rPr>
      <w:b w:val="0"/>
      <w:bCs w:val="0"/>
      <w:i w:val="0"/>
      <w:iCs w:val="0"/>
      <w:smallCaps w:val="0"/>
      <w:strike w:val="0"/>
      <w:sz w:val="20"/>
      <w:szCs w:val="20"/>
      <w:u w:val="none"/>
    </w:rPr>
  </w:style>
  <w:style w:type="character" w:customStyle="1" w:styleId="a4">
    <w:name w:val="Другое_"/>
    <w:basedOn w:val="a0"/>
    <w:link w:val="a5"/>
    <w:rPr>
      <w:b w:val="0"/>
      <w:bCs w:val="0"/>
      <w:i w:val="0"/>
      <w:iCs w:val="0"/>
      <w:smallCaps w:val="0"/>
      <w:strike w:val="0"/>
      <w:sz w:val="20"/>
      <w:szCs w:val="20"/>
      <w:u w:val="none"/>
    </w:rPr>
  </w:style>
  <w:style w:type="character" w:customStyle="1" w:styleId="5">
    <w:name w:val="Основной текст (5)_"/>
    <w:basedOn w:val="a0"/>
    <w:link w:val="50"/>
    <w:rPr>
      <w:b w:val="0"/>
      <w:bCs w:val="0"/>
      <w:i w:val="0"/>
      <w:iCs w:val="0"/>
      <w:smallCaps w:val="0"/>
      <w:strike w:val="0"/>
      <w:sz w:val="26"/>
      <w:szCs w:val="26"/>
      <w:u w:val="none"/>
    </w:rPr>
  </w:style>
  <w:style w:type="character" w:customStyle="1" w:styleId="10">
    <w:name w:val="Заголовок №1_"/>
    <w:basedOn w:val="a0"/>
    <w:link w:val="11"/>
    <w:rPr>
      <w:b w:val="0"/>
      <w:bCs w:val="0"/>
      <w:i w:val="0"/>
      <w:iCs w:val="0"/>
      <w:smallCaps w:val="0"/>
      <w:strike w:val="0"/>
      <w:color w:val="8C86E0"/>
      <w:sz w:val="30"/>
      <w:szCs w:val="30"/>
      <w:u w:val="none"/>
    </w:rPr>
  </w:style>
  <w:style w:type="paragraph" w:customStyle="1" w:styleId="20">
    <w:name w:val="Заголовок №2"/>
    <w:basedOn w:val="a"/>
    <w:link w:val="2"/>
    <w:pPr>
      <w:jc w:val="center"/>
      <w:outlineLvl w:val="1"/>
    </w:pPr>
    <w:rPr>
      <w:sz w:val="26"/>
      <w:szCs w:val="26"/>
    </w:rPr>
  </w:style>
  <w:style w:type="paragraph" w:customStyle="1" w:styleId="1">
    <w:name w:val="Основной текст1"/>
    <w:basedOn w:val="a"/>
    <w:link w:val="a3"/>
    <w:pPr>
      <w:spacing w:line="425" w:lineRule="auto"/>
    </w:pPr>
    <w:rPr>
      <w:sz w:val="20"/>
      <w:szCs w:val="20"/>
    </w:rPr>
  </w:style>
  <w:style w:type="paragraph" w:customStyle="1" w:styleId="a5">
    <w:name w:val="Другое"/>
    <w:basedOn w:val="a"/>
    <w:link w:val="a4"/>
    <w:pPr>
      <w:spacing w:line="432" w:lineRule="auto"/>
    </w:pPr>
    <w:rPr>
      <w:sz w:val="20"/>
      <w:szCs w:val="20"/>
    </w:rPr>
  </w:style>
  <w:style w:type="paragraph" w:customStyle="1" w:styleId="50">
    <w:name w:val="Основной текст (5)"/>
    <w:basedOn w:val="a"/>
    <w:link w:val="5"/>
    <w:pPr>
      <w:jc w:val="right"/>
    </w:pPr>
    <w:rPr>
      <w:sz w:val="26"/>
      <w:szCs w:val="26"/>
    </w:rPr>
  </w:style>
  <w:style w:type="paragraph" w:customStyle="1" w:styleId="11">
    <w:name w:val="Заголовок №1"/>
    <w:basedOn w:val="a"/>
    <w:link w:val="10"/>
    <w:pPr>
      <w:ind w:left="2730"/>
      <w:outlineLvl w:val="0"/>
    </w:pPr>
    <w:rPr>
      <w:color w:val="8C86E0"/>
      <w:sz w:val="30"/>
      <w:szCs w:val="30"/>
    </w:rPr>
  </w:style>
  <w:style w:type="paragraph" w:styleId="a6">
    <w:name w:val="header"/>
    <w:basedOn w:val="a"/>
    <w:link w:val="a7"/>
    <w:uiPriority w:val="99"/>
    <w:unhideWhenUsed/>
    <w:rsid w:val="0042069D"/>
    <w:pPr>
      <w:tabs>
        <w:tab w:val="center" w:pos="4677"/>
        <w:tab w:val="right" w:pos="9355"/>
      </w:tabs>
    </w:pPr>
  </w:style>
  <w:style w:type="character" w:customStyle="1" w:styleId="a7">
    <w:name w:val="Верхний колонтитул Знак"/>
    <w:basedOn w:val="a0"/>
    <w:link w:val="a6"/>
    <w:uiPriority w:val="99"/>
    <w:rsid w:val="0042069D"/>
    <w:rPr>
      <w:color w:val="000000"/>
    </w:rPr>
  </w:style>
  <w:style w:type="paragraph" w:styleId="a8">
    <w:name w:val="footer"/>
    <w:basedOn w:val="a"/>
    <w:link w:val="a9"/>
    <w:uiPriority w:val="99"/>
    <w:unhideWhenUsed/>
    <w:rsid w:val="0042069D"/>
    <w:pPr>
      <w:tabs>
        <w:tab w:val="center" w:pos="4677"/>
        <w:tab w:val="right" w:pos="9355"/>
      </w:tabs>
    </w:pPr>
  </w:style>
  <w:style w:type="character" w:customStyle="1" w:styleId="a9">
    <w:name w:val="Нижний колонтитул Знак"/>
    <w:basedOn w:val="a0"/>
    <w:link w:val="a8"/>
    <w:uiPriority w:val="99"/>
    <w:rsid w:val="0042069D"/>
    <w:rPr>
      <w:color w:val="000000"/>
    </w:rPr>
  </w:style>
  <w:style w:type="character" w:styleId="aa">
    <w:name w:val="Hyperlink"/>
    <w:basedOn w:val="a0"/>
    <w:uiPriority w:val="99"/>
    <w:unhideWhenUsed/>
    <w:rsid w:val="00891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r@petrova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 Gaitukieva</dc:creator>
  <cp:lastModifiedBy>Polina Volobueva</cp:lastModifiedBy>
  <cp:revision>2</cp:revision>
  <dcterms:created xsi:type="dcterms:W3CDTF">2021-06-28T12:17:00Z</dcterms:created>
  <dcterms:modified xsi:type="dcterms:W3CDTF">2021-06-28T12:17:00Z</dcterms:modified>
</cp:coreProperties>
</file>